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F172A"/>
          <w:sz w:val="56"/>
          <w:szCs w:val="56"/>
        </w:rPr>
        <w:t xml:space="preserve">APAC Exchange Connectivity</w:t>
      </w:r>
    </w:p>
    <w:p>
      <w:pPr>
        <w:spacing w:after="120"/>
        <w:jc w:val="center"/>
      </w:pPr>
      <w:r>
        <w:rPr>
          <w:color w:val="0F172A"/>
          <w:sz w:val="36"/>
          <w:szCs w:val="36"/>
        </w:rPr>
        <w:t xml:space="preserve">Core Concepts Deep Dive</w:t>
      </w:r>
    </w:p>
    <w:p>
      <w:pPr>
        <w:spacing w:after="120"/>
        <w:jc w:val="center"/>
      </w:pPr>
      <w:r>
        <w:rPr>
          <w:color w:val="475569"/>
          <w:sz w:val="24"/>
          <w:szCs w:val="24"/>
        </w:rPr>
        <w:t xml:space="preserve">Networking, encoding, time, security — anchored to AU · IN · JP · KR · TW</w:t>
      </w:r>
    </w:p>
    <w:p>
      <w:pPr>
        <w:spacing w:after="800"/>
        <w:jc w:val="center"/>
      </w:pPr>
      <w:r>
        <w:rPr>
          <w:i/>
          <w:iCs/>
          <w:color w:val="6B7280"/>
          <w:sz w:val="22"/>
          <w:szCs w:val="22"/>
        </w:rPr>
        <w:t xml:space="preserve">Estimated reading time: ~3 hours</w:t>
      </w:r>
    </w:p>
    <w:p>
      <w:r>
        <w:br w:type="page"/>
      </w:r>
    </w:p>
    <w:p>
      <w:pPr>
        <w:pStyle w:val="Heading1"/>
      </w:pPr>
      <w: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How to use this deep dive</w:t>
      </w:r>
    </w:p>
    <w:p>
      <w:pPr>
        <w:spacing w:after="120"/>
      </w:pPr>
      <w:r>
        <w:t xml:space="preserve">This document is a structured pass through the foundational concepts that any APAC exchange connectivity engineer should be able to defend on a whiteboard. It assumes you have already read the APAC Options Exchanges Reference and the HFT Infrastructure Refresher, and that you can place ASX, NSE, BSE, JPX, KRX and TAIFEX in their respective regulatory and product contexts.</w:t>
      </w:r>
    </w:p>
    <w:p>
      <w:pPr>
        <w:spacing w:after="120"/>
      </w:pPr>
      <w:r>
        <w:t xml:space="preserve">The sections move bottom-up through the OSI stack, then sideways through encoding, time, security, the hardware data path, the trading-stack abstractions, and finally the APAC-specific operational layer. Every concept is illustrated with at least one specific Asia-Pacific worked example — usually three, one each from a different jurisdiction — so the principle never floats unanchored.</w:t>
      </w:r>
    </w:p>
    <w:p>
      <w:pPr>
        <w:spacing w:after="120"/>
      </w:pPr>
      <w:r>
        <w:t xml:space="preserve">Each chapter ends with two coloured boxes. The teal "How this shows up in APAC" box names the venues and protocols where the concept is most load-bearing. The red "Misconception" box names the wrong intuition you must drop. Where vendor or specification links exist they are listed at the end of the chapter.</w:t>
      </w:r>
    </w:p>
    <w:p>
      <w:pPr>
        <w:pStyle w:val="Heading2"/>
      </w:pPr>
      <w:r>
        <w:t xml:space="preserve">Suggested 3-hour pacing</w:t>
      </w:r>
    </w:p>
    <w:p>
      <w:pPr>
        <w:pStyle w:val="ListParagraph"/>
        <w:numPr>
          <w:ilvl w:val="0"/>
          <w:numId w:val="2"/>
        </w:numPr>
      </w:pPr>
      <w:r>
        <w:rPr>
          <w:b/>
          <w:bCs/>
        </w:rPr>
        <w:t xml:space="preserve">0:00 – 0:45</w:t>
      </w:r>
      <w:r>
        <w:t xml:space="preserve">  Theme A (Foundations) — chapters 1 to 5. The OSI stack and the transport choice.</w:t>
      </w:r>
    </w:p>
    <w:p>
      <w:pPr>
        <w:pStyle w:val="ListParagraph"/>
        <w:numPr>
          <w:ilvl w:val="0"/>
          <w:numId w:val="2"/>
        </w:numPr>
      </w:pPr>
      <w:r>
        <w:rPr>
          <w:b/>
          <w:bCs/>
        </w:rPr>
        <w:t xml:space="preserve">0:45 – 1:30</w:t>
      </w:r>
      <w:r>
        <w:t xml:space="preserve">  Theme B (Encoding) — chapters 6 to 10. Wire formats, framing, recovery, tick-to-trade.</w:t>
      </w:r>
    </w:p>
    <w:p>
      <w:pPr>
        <w:pStyle w:val="ListParagraph"/>
        <w:numPr>
          <w:ilvl w:val="0"/>
          <w:numId w:val="2"/>
        </w:numPr>
      </w:pPr>
      <w:r>
        <w:rPr>
          <w:b/>
          <w:bCs/>
        </w:rPr>
        <w:t xml:space="preserve">1:30 – 2:00</w:t>
      </w:r>
      <w:r>
        <w:t xml:space="preserve">  Theme C (Time and security) — chapters 11 to 14.</w:t>
      </w:r>
    </w:p>
    <w:p>
      <w:pPr>
        <w:pStyle w:val="ListParagraph"/>
        <w:numPr>
          <w:ilvl w:val="0"/>
          <w:numId w:val="2"/>
        </w:numPr>
      </w:pPr>
      <w:r>
        <w:rPr>
          <w:b/>
          <w:bCs/>
        </w:rPr>
        <w:t xml:space="preserve">2:00 – 2:30</w:t>
      </w:r>
      <w:r>
        <w:t xml:space="preserve">  Theme D and E (Hardware path and trading stack) — chapters 15 to 21.</w:t>
      </w:r>
    </w:p>
    <w:p>
      <w:pPr>
        <w:pStyle w:val="ListParagraph"/>
        <w:numPr>
          <w:ilvl w:val="0"/>
          <w:numId w:val="2"/>
        </w:numPr>
      </w:pPr>
      <w:r>
        <w:rPr>
          <w:b/>
          <w:bCs/>
        </w:rPr>
        <w:t xml:space="preserve">2:30 – 3:00</w:t>
      </w:r>
      <w:r>
        <w:t xml:space="preserve">  Theme F (APAC-specific operational reality) — chapters 22 to 25, then the quiz.</w:t>
      </w:r>
    </w:p>
    <w:p>
      <w:pPr>
        <w:spacing w:after="200"/>
      </w:pPr>
      <w:r>
        <w:t xml:space="preserve"/>
      </w:r>
    </w:p>
    <w:p>
      <w:pPr>
        <w:pStyle w:val="Heading1"/>
        <w:pageBreakBefore/>
      </w:pPr>
      <w:r>
        <w:t xml:space="preserve">Theme A — Foundations on the OSI stack</w:t>
      </w:r>
    </w:p>
    <w:p>
      <w:pPr>
        <w:spacing w:after="120"/>
      </w:pPr>
      <w:r>
        <w:t xml:space="preserve">Before any APAC-specific protocol makes sense, the underlying network layers have to. The five chapters in this theme establish the OSI model as a navigation tool, the Ethernet frame as the unit of transport, the IP datagram as the routing primitive, the TCP/UDP choice as the central transport-layer tradeoff, and multicast as the fan-out mechanism that defines market data distribution everywhere from Mumbai to Sydney.</w:t>
      </w:r>
    </w:p>
    <w:p>
      <w:pPr>
        <w:pStyle w:val="Heading1"/>
        <w:pageBreakBefore/>
      </w:pPr>
      <w:r>
        <w:t xml:space="preserve">1. The OSI model as a navigation aid</w:t>
      </w:r>
    </w:p>
    <w:p>
      <w:pPr>
        <w:spacing w:after="120"/>
      </w:pPr>
      <w:r>
        <w:t xml:space="preserve">The OSI seven-layer reference model is not how networks are actually implemented — TCP/IP collapses several layers — but it remains the most useful mental map for placing protocols. Every connectivity discussion gets sharper if you can name the layer at which a problem lives, because each layer has its own debugging tools, its own failure modes, and its own ownership boundary inside the firm.</w:t>
      </w:r>
    </w:p>
    <w:p>
      <w:pPr>
        <w:pStyle w:val="Heading2"/>
      </w:pPr>
      <w:r>
        <w:t xml:space="preserve">The seven layers, from the bottom</w:t>
      </w:r>
    </w:p>
    <w:p>
      <w:pPr>
        <w:pStyle w:val="ListParagraph"/>
        <w:numPr>
          <w:ilvl w:val="0"/>
          <w:numId w:val="2"/>
        </w:numPr>
      </w:pPr>
      <w:r>
        <w:rPr>
          <w:b/>
          <w:bCs/>
        </w:rPr>
        <w:t xml:space="preserve">L1 Physical</w:t>
      </w:r>
      <w:r>
        <w:t xml:space="preserve">  Bits on a medium. Single-mode fibre with optical transceivers, copper twinax for short hops, microwave radio over the air. Failure modes: dirty fibre connectors, dead transceivers, severed cables.</w:t>
      </w:r>
    </w:p>
    <w:p>
      <w:pPr>
        <w:pStyle w:val="ListParagraph"/>
        <w:numPr>
          <w:ilvl w:val="0"/>
          <w:numId w:val="2"/>
        </w:numPr>
      </w:pPr>
      <w:r>
        <w:rPr>
          <w:b/>
          <w:bCs/>
        </w:rPr>
        <w:t xml:space="preserve">L2 Data link</w:t>
      </w:r>
      <w:r>
        <w:t xml:space="preserve">  Frames on a physical segment. Ethernet on essentially every venue. MAC addresses, EtherType, FCS. Failure modes: duplex mismatch, MTU mismatch, switching-loop storms.</w:t>
      </w:r>
    </w:p>
    <w:p>
      <w:pPr>
        <w:pStyle w:val="ListParagraph"/>
        <w:numPr>
          <w:ilvl w:val="0"/>
          <w:numId w:val="2"/>
        </w:numPr>
      </w:pPr>
      <w:r>
        <w:rPr>
          <w:b/>
          <w:bCs/>
        </w:rPr>
        <w:t xml:space="preserve">L3 Network</w:t>
      </w:r>
      <w:r>
        <w:t xml:space="preserve">  Routing of packets between segments. IPv4 (and increasingly IPv6) inside CoLo and across WAN. Failure modes: black-holed routes, asymmetric paths, broken multicast distribution trees.</w:t>
      </w:r>
    </w:p>
    <w:p>
      <w:pPr>
        <w:pStyle w:val="ListParagraph"/>
        <w:numPr>
          <w:ilvl w:val="0"/>
          <w:numId w:val="2"/>
        </w:numPr>
      </w:pPr>
      <w:r>
        <w:rPr>
          <w:b/>
          <w:bCs/>
        </w:rPr>
        <w:t xml:space="preserve">L4 Transport</w:t>
      </w:r>
      <w:r>
        <w:t xml:space="preserve">  Reliable streams (TCP) or unreliable datagrams (UDP). The single most important architectural choice: every native order-entry protocol in APAC is TCP, every native market data feed is UDP multicast.</w:t>
      </w:r>
    </w:p>
    <w:p>
      <w:pPr>
        <w:pStyle w:val="ListParagraph"/>
        <w:numPr>
          <w:ilvl w:val="0"/>
          <w:numId w:val="2"/>
        </w:numPr>
      </w:pPr>
      <w:r>
        <w:rPr>
          <w:b/>
          <w:bCs/>
        </w:rPr>
        <w:t xml:space="preserve">L5 Session</w:t>
      </w:r>
      <w:r>
        <w:t xml:space="preserve">  Conversation lifecycle, framing, sequencing. SoupBinTCP (ASX), MoldUDP64 (multicast wrapper), TMP's own length-and-sequence header (TAIFEX), the OMB session bus (BSE BOLT+ IML), the FIX session layer.</w:t>
      </w:r>
    </w:p>
    <w:p>
      <w:pPr>
        <w:pStyle w:val="ListParagraph"/>
        <w:numPr>
          <w:ilvl w:val="0"/>
          <w:numId w:val="2"/>
        </w:numPr>
      </w:pPr>
      <w:r>
        <w:rPr>
          <w:b/>
          <w:bCs/>
        </w:rPr>
        <w:t xml:space="preserve">L6 Presentation</w:t>
      </w:r>
      <w:r>
        <w:t xml:space="preserve">  How application data is encoded for the wire. Big-endian fixed-offset binary (TMP, OUCH, ITCH, EXTURE+), tag=value ASCII (FIX), FAST/FIX (BSE multicast), SBE (FIX TC standard).</w:t>
      </w:r>
    </w:p>
    <w:p>
      <w:pPr>
        <w:pStyle w:val="ListParagraph"/>
        <w:numPr>
          <w:ilvl w:val="0"/>
          <w:numId w:val="2"/>
        </w:numPr>
      </w:pPr>
      <w:r>
        <w:rPr>
          <w:b/>
          <w:bCs/>
        </w:rPr>
        <w:t xml:space="preserve">L7 Application</w:t>
      </w:r>
      <w:r>
        <w:t xml:space="preserve">  The message catalogue and semantics — what an order is, what an execution looks like, what fields exist. ITCH, OUCH, FLEX, MTBT, TMP, EXTURE+, ETI, NNF, FIX message types.</w:t>
      </w:r>
    </w:p>
    <w:p>
      <w:pPr>
        <w:pStyle w:val="Heading2"/>
      </w:pPr>
      <w:r>
        <w:t xml:space="preserve">Why this matters for connectivity work</w:t>
      </w:r>
    </w:p>
    <w:p>
      <w:pPr>
        <w:spacing w:after="120"/>
      </w:pPr>
      <w:r>
        <w:t xml:space="preserve">When NSE rolls out the MTBT API Specification v6.3, the change is at L7 (the message catalogue grows or shifts). When TAIFEX bumps TMP from v2.14 to v2.15, the change is at L6 and L7 (encoding details and field set). When BSE moves IML over OMB onto a new bus version, the change is at L5. When the exchange swaps a switch, the change is at L2. Misnaming the layer wastes hours; naming it correctly tells you who in the firm owns the change and which test must verify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TSE Arrowhead 4.0: </w:t>
            </w:r>
            <w:r>
              <w:t xml:space="preserve">the November 2024 cutover that added a closing auction was an L7 change — new message types in FLEX — but did not require any L1–L4 work for connected members.</w:t>
            </w:r>
          </w:p>
          <w:p>
            <w:pPr>
              <w:spacing w:after="60"/>
            </w:pPr>
            <w:r>
              <w:rPr>
                <w:b/>
                <w:bCs/>
                <w:color w:val="0E7490"/>
              </w:rPr>
              <w:t xml:space="preserve">BSE BOLT+ ETI: </w:t>
            </w:r>
            <w:r>
              <w:t xml:space="preserve">FIX 5.0 SP2 semantics at L7 and OMB at L5. A FIX engineer with no networking background can implement to ETI; a network engineer with no FIX exposure can route ETI's TCP without reading the message spec.</w:t>
            </w:r>
          </w:p>
          <w:p>
            <w:pPr>
              <w:spacing w:after="60"/>
            </w:pPr>
            <w:r>
              <w:rPr>
                <w:b/>
                <w:bCs/>
                <w:color w:val="0E7490"/>
              </w:rPr>
              <w:t xml:space="preserve">KRX EXTURE+: </w:t>
            </w:r>
            <w:r>
              <w:t xml:space="preserve">the 2014 platform consolidation merged the equities and derivatives stacks at L7 (one message catalogue) but left L4 unchanged (still TCP for OE, UDP multicast for MD).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"The OSI model is obsolete because TCP/IP only has four layers."</w:t>
            </w:r>
          </w:p>
          <w:p>
            <w:r>
              <w:rPr>
                <w:b/>
                <w:bCs/>
                <w:color w:val="065F46"/>
              </w:rPr>
              <w:t xml:space="preserve">Right: </w:t>
            </w:r>
            <w:r>
              <w:t xml:space="preserve">TCP/IP is the implementation; OSI is the vocabulary. Engineers still talk about "a layer 5 issue" because pinning a problem to a layer beats arguing over implementation taxonomies. Use OSI as a debugging language, not a deployment guide.</w:t>
            </w:r>
          </w:p>
        </w:tc>
      </w:tr>
    </w:tbl>
    <w:p>
      <w:pPr>
        <w:pStyle w:val="ListParagraph"/>
        <w:numPr>
          <w:ilvl w:val="0"/>
          <w:numId w:val="2"/>
        </w:numPr>
      </w:pPr>
      <w:r>
        <w:rPr>
          <w:b/>
          <w:bCs/>
        </w:rPr>
        <w:t xml:space="preserve">ITU-T X.200 — OSI reference model — </w:t>
      </w:r>
      <w:hyperlink w:history="1" r:id="rIdpe-qdrybeqztlddt19xcs">
        <w:r>
          <w:rPr>
            <w:rStyle w:val="Hyperlink"/>
          </w:rPr>
          <w:t xml:space="preserve">https://www.itu.int/rec/T-REC-X.200/</w:t>
        </w:r>
      </w:hyperlink>
    </w:p>
    <w:p>
      <w:pPr>
        <w:pStyle w:val="Heading1"/>
        <w:pageBreakBefore/>
      </w:pPr>
      <w:r>
        <w:t xml:space="preserve">2. Ethernet frames</w:t>
      </w:r>
    </w:p>
    <w:p>
      <w:pPr>
        <w:spacing w:after="120"/>
      </w:pPr>
      <w:r>
        <w:t xml:space="preserve">Every byte of every protocol in this document eventually travels inside an Ethernet frame on a physical segment. Knowing the frame structure cold is the foundation for understanding cut-through switching, jumbo MTUs, microbursts, and serialisation latency.</w:t>
      </w:r>
    </w:p>
    <w:p>
      <w:pPr>
        <w:pStyle w:val="Heading2"/>
      </w:pPr>
      <w:r>
        <w:t xml:space="preserve">Frame anatomy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5960"/>
      </w:tblGrid>
      <w:tr>
        <w:trPr>
          <w:tblHeader/>
        </w:trPr>
        <w:tc>
          <w:tcPr>
            <w:tcW w:type="dxa" w:w="22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Field</w:t>
            </w:r>
          </w:p>
        </w:tc>
        <w:tc>
          <w:tcPr>
            <w:tcW w:type="dxa" w:w="12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Bytes</w:t>
            </w:r>
          </w:p>
        </w:tc>
        <w:tc>
          <w:tcPr>
            <w:tcW w:type="dxa" w:w="59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Purpose</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Preamble + SFD</w:t>
            </w:r>
          </w:p>
        </w:tc>
        <w:tc>
          <w:tcPr>
            <w:tcW w:type="dxa" w:w="1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8</w:t>
            </w:r>
          </w:p>
        </w:tc>
        <w:tc>
          <w:tcPr>
            <w:tcW w:type="dxa" w:w="5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Clock recovery and frame-start delimiter (does not count toward MTU)</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Destination MAC</w:t>
            </w:r>
          </w:p>
        </w:tc>
        <w:tc>
          <w:tcPr>
            <w:tcW w:type="dxa" w:w="1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6</w:t>
            </w:r>
          </w:p>
        </w:tc>
        <w:tc>
          <w:tcPr>
            <w:tcW w:type="dxa" w:w="5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Which interface should accept the frame</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Source MAC</w:t>
            </w:r>
          </w:p>
        </w:tc>
        <w:tc>
          <w:tcPr>
            <w:tcW w:type="dxa" w:w="1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6</w:t>
            </w:r>
          </w:p>
        </w:tc>
        <w:tc>
          <w:tcPr>
            <w:tcW w:type="dxa" w:w="5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Which interface sent it</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EtherType / Length</w:t>
            </w:r>
          </w:p>
        </w:tc>
        <w:tc>
          <w:tcPr>
            <w:tcW w:type="dxa" w:w="1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2</w:t>
            </w:r>
          </w:p>
        </w:tc>
        <w:tc>
          <w:tcPr>
            <w:tcW w:type="dxa" w:w="5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0x0800 = IPv4, 0x86DD = IPv6, 0x8100 = 802.1Q VLAN tag</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Payload</w:t>
            </w:r>
          </w:p>
        </w:tc>
        <w:tc>
          <w:tcPr>
            <w:tcW w:type="dxa" w:w="1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46–1500</w:t>
            </w:r>
          </w:p>
        </w:tc>
        <w:tc>
          <w:tcPr>
            <w:tcW w:type="dxa" w:w="5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IP datagram — or jumbo-frame payload up to 9000 bytes</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FCS (CRC-32)</w:t>
            </w:r>
          </w:p>
        </w:tc>
        <w:tc>
          <w:tcPr>
            <w:tcW w:type="dxa" w:w="1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4</w:t>
            </w:r>
          </w:p>
        </w:tc>
        <w:tc>
          <w:tcPr>
            <w:tcW w:type="dxa" w:w="5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Frame integrity check; cut-through switches re-stamp this</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Inter-Frame Gap</w:t>
            </w:r>
          </w:p>
        </w:tc>
        <w:tc>
          <w:tcPr>
            <w:tcW w:type="dxa" w:w="1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12</w:t>
            </w:r>
          </w:p>
        </w:tc>
        <w:tc>
          <w:tcPr>
            <w:tcW w:type="dxa" w:w="5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Mandatory idle between frames; not a field but a wire requirement</w:t>
            </w:r>
          </w:p>
        </w:tc>
      </w:tr>
    </w:tbl>
    <w:p>
      <w:pPr>
        <w:pStyle w:val="Heading2"/>
      </w:pPr>
      <w:r>
        <w:t xml:space="preserve">Serialisation latency</w:t>
      </w:r>
    </w:p>
    <w:p>
      <w:pPr>
        <w:spacing w:after="120"/>
      </w:pPr>
      <w:r>
        <w:t xml:space="preserve">Serialisation latency is the time it takes to push the bits of a frame onto the wire at the line rate. Formula: bytes × 8 ÷ link speed. A 1500-byte frame at 10 GbE takes 1.2 µs to serialise. At 25 GbE, 480 ns. At 100 GbE, 120 ns. This is why HFT switches are cut-through: a store-and-forward switch must absorb the entire frame before forwarding, adding one full serialisation time per hop.</w:t>
      </w:r>
    </w:p>
    <w:p>
      <w:pPr>
        <w:pStyle w:val="Heading2"/>
      </w:pPr>
      <w:r>
        <w:t xml:space="preserve">Jumbo frames and MTU</w:t>
      </w:r>
    </w:p>
    <w:p>
      <w:pPr>
        <w:spacing w:after="120"/>
      </w:pPr>
      <w:r>
        <w:t xml:space="preserve">Standard MTU is 1500 bytes; jumbo frames go up to 9000. Jumbos reduce per-byte header overhead and are useful for bulk data movement (replay files, reference-data downloads). But for HFT they have an awkward property: a 9000-byte frame at 10 GbE takes ~7.2 µs to serialise — significantly worse latency for any single message. Most APAC exchange CoLo fabrics keep MTU at 1500 on the trading path and reserve jumbos for back-office traffic. The other gotcha is that every device in the path must agree on MTU; one mis-set switch can fragment or drop oversized frames silently.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Co-Lo (BKC, Mumbai): </w:t>
            </w:r>
            <w:r>
              <w:t xml:space="preserve">rack tiers are spec'd at 6 KVA legacy and 7.5 KVA Phase-13 with new High Power Density 42U×2 / 15 KVA. Power and cooling envelopes constrain how dense a participant can pack 100 GbE links — frame rate budgeting starts here.</w:t>
            </w:r>
          </w:p>
          <w:p>
            <w:pPr>
              <w:spacing w:after="60"/>
            </w:pPr>
            <w:r>
              <w:rPr>
                <w:b/>
                <w:bCs/>
                <w:color w:val="0E7490"/>
              </w:rPr>
              <w:t xml:space="preserve">TAIFEX TMP: </w:t>
            </w:r>
            <w:r>
              <w:t xml:space="preserve">messages are short and fixed-length, so an entire TMP order/exec round-trip fits comfortably in a single 1500-byte frame. Jumbo frames give no measurable benefit on the trading path.</w:t>
            </w:r>
          </w:p>
          <w:p>
            <w:pPr>
              <w:spacing w:after="60"/>
            </w:pPr>
            <w:r>
              <w:rPr>
                <w:b/>
                <w:bCs/>
                <w:color w:val="0E7490"/>
              </w:rPr>
              <w:t xml:space="preserve">JPX FLEX Historical: </w:t>
            </w:r>
            <w:r>
              <w:t xml:space="preserve">delivered as pcap files over an FTP path; this is exactly the kind of bulk transfer where jumbo frames win.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"Larger MTU is always better."</w:t>
            </w:r>
          </w:p>
          <w:p>
            <w:r>
              <w:rPr>
                <w:b/>
                <w:bCs/>
                <w:color w:val="065F46"/>
              </w:rPr>
              <w:t xml:space="preserve">Right: </w:t>
            </w:r>
            <w:r>
              <w:t xml:space="preserve">Bulk transfer benefits from jumbo frames; latency-critical, single-message paths are hurt by them. The right answer depends on the workload, and it is a per-link decision.</w:t>
            </w:r>
          </w:p>
        </w:tc>
      </w:tr>
    </w:tbl>
    <w:p>
      <w:pPr>
        <w:pStyle w:val="ListParagraph"/>
        <w:numPr>
          <w:ilvl w:val="0"/>
          <w:numId w:val="2"/>
        </w:numPr>
      </w:pPr>
      <w:r>
        <w:rPr>
          <w:b/>
          <w:bCs/>
        </w:rPr>
        <w:t xml:space="preserve">IEEE 802.3 Ethernet standard family — </w:t>
      </w:r>
      <w:hyperlink w:history="1" r:id="rIdv-gjjzwwed_rio-kp4_ln">
        <w:r>
          <w:rPr>
            <w:rStyle w:val="Hyperlink"/>
          </w:rPr>
          <w:t xml:space="preserve">https://standards.ieee.org/ieee/802.3/</w:t>
        </w:r>
      </w:hyperlink>
    </w:p>
    <w:p>
      <w:pPr>
        <w:pStyle w:val="Heading1"/>
        <w:pageBreakBefore/>
      </w:pPr>
      <w:r>
        <w:t xml:space="preserve">3. IP — IPv4, IPv6, and the fields that matter</w:t>
      </w:r>
    </w:p>
    <w:p>
      <w:pPr>
        <w:spacing w:after="120"/>
      </w:pPr>
      <w:r>
        <w:t xml:space="preserve">The IP layer carries packets between LAN segments. Inside an exchange CoLo the network is usually one big L2 fabric and IP routing is barely involved; once you cross the WAN, IP routing dominates. Either way, a few header fields matter for HFT.</w:t>
      </w:r>
    </w:p>
    <w:p>
      <w:pPr>
        <w:pStyle w:val="Heading2"/>
      </w:pPr>
      <w:r>
        <w:t xml:space="preserve">IPv4 header fields you will actually see</w:t>
      </w:r>
    </w:p>
    <w:p>
      <w:pPr>
        <w:pStyle w:val="ListParagraph"/>
        <w:numPr>
          <w:ilvl w:val="0"/>
          <w:numId w:val="2"/>
        </w:numPr>
      </w:pPr>
      <w:r>
        <w:rPr>
          <w:b/>
          <w:bCs/>
        </w:rPr>
        <w:t xml:space="preserve">TTL (Time To Live)</w:t>
      </w:r>
      <w:r>
        <w:t xml:space="preserve">  Decremented at each routed hop; if it reaches zero the packet is dropped. Useful for traceroute. In HFT context, TTL decrement is one reason L3 routing is avoided on the data plane: each routed hop touches the header.</w:t>
      </w:r>
    </w:p>
    <w:p>
      <w:pPr>
        <w:pStyle w:val="ListParagraph"/>
        <w:numPr>
          <w:ilvl w:val="0"/>
          <w:numId w:val="2"/>
        </w:numPr>
      </w:pPr>
      <w:r>
        <w:rPr>
          <w:b/>
          <w:bCs/>
        </w:rPr>
        <w:t xml:space="preserve">Protocol</w:t>
      </w:r>
      <w:r>
        <w:t xml:space="preserve">  6 = TCP, 17 = UDP, 1 = ICMP. The L4 disambiguator.</w:t>
      </w:r>
    </w:p>
    <w:p>
      <w:pPr>
        <w:pStyle w:val="ListParagraph"/>
        <w:numPr>
          <w:ilvl w:val="0"/>
          <w:numId w:val="2"/>
        </w:numPr>
      </w:pPr>
      <w:r>
        <w:rPr>
          <w:b/>
          <w:bCs/>
        </w:rPr>
        <w:t xml:space="preserve">DSCP / TOS</w:t>
      </w:r>
      <w:r>
        <w:t xml:space="preserve">  6-bit field used for QoS. Some venues split market-data and order-entry traffic onto different DSCP classes so switches can apply different queueing policies. Useful for ensuring an OE burst doesn't get stuck behind a market-data burst.</w:t>
      </w:r>
    </w:p>
    <w:p>
      <w:pPr>
        <w:pStyle w:val="ListParagraph"/>
        <w:numPr>
          <w:ilvl w:val="0"/>
          <w:numId w:val="2"/>
        </w:numPr>
      </w:pPr>
      <w:r>
        <w:rPr>
          <w:b/>
          <w:bCs/>
        </w:rPr>
        <w:t xml:space="preserve">Fragment flags / offset</w:t>
      </w:r>
      <w:r>
        <w:t xml:space="preserve">  Allow a packet too large for a link's MTU to be split. Path MTU discovery is supposed to prevent this, but mis-configured links cause silent fragmentation that destroys latency determinism. HFT operations explicitly disable fragmentation on the trading path (DF bit set).</w:t>
      </w:r>
    </w:p>
    <w:p>
      <w:pPr>
        <w:pStyle w:val="ListParagraph"/>
        <w:numPr>
          <w:ilvl w:val="0"/>
          <w:numId w:val="2"/>
        </w:numPr>
      </w:pPr>
      <w:r>
        <w:rPr>
          <w:b/>
          <w:bCs/>
        </w:rPr>
        <w:t xml:space="preserve">Source / Destination</w:t>
      </w:r>
      <w:r>
        <w:t xml:space="preserve">  For unicast, point-to-point. For multicast, the destination is a class-D address (224.0.0.0/4) and the source identifies which feed handler emitted it. Source-Specific Multicast (IGMPv3 SSM) lets a receiver subscribe only to a specific source for a given group, which is what every modern exchange uses.</w:t>
      </w:r>
    </w:p>
    <w:p>
      <w:pPr>
        <w:pStyle w:val="Heading2"/>
      </w:pPr>
      <w:r>
        <w:t xml:space="preserve">IPv6 in APAC trading</w:t>
      </w:r>
    </w:p>
    <w:p>
      <w:pPr>
        <w:spacing w:after="120"/>
      </w:pPr>
      <w:r>
        <w:t xml:space="preserve">Adoption is patchy. None of the five APAC venues in scope have made IPv6 mandatory on the trading fabric. IPv6 is more common on the corporate WAN and on management interfaces. On the data plane, IPv4 still rules — and is likely to rule for another five-plus years.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MTBT: </w:t>
            </w:r>
            <w:r>
              <w:t xml:space="preserve">uses dual active-active multicast channels. Each channel is a distinct IPv4 multicast group; subscribers join both via IGMP and arbitrate by sequence.</w:t>
            </w:r>
          </w:p>
          <w:p>
            <w:pPr>
              <w:spacing w:after="60"/>
            </w:pPr>
            <w:r>
              <w:rPr>
                <w:b/>
                <w:bCs/>
                <w:color w:val="0E7490"/>
              </w:rPr>
              <w:t xml:space="preserve">TAIFEX MD: </w:t>
            </w:r>
            <w:r>
              <w:t xml:space="preserve">delivered as UDP multicast over IPv4. Group lists are gated to member FCMs via TAIFEX member services, not in the public TMP spec.</w:t>
            </w:r>
          </w:p>
          <w:p>
            <w:pPr>
              <w:spacing w:after="60"/>
            </w:pPr>
            <w:r>
              <w:rPr>
                <w:b/>
                <w:bCs/>
                <w:color w:val="0E7490"/>
              </w:rPr>
              <w:t xml:space="preserve">JPX arrownet-Global: </w:t>
            </w:r>
            <w:r>
              <w:t xml:space="preserve">the cross-border partner network connecting JPX with Hong Kong and Singapore is IPv4 with carrier-class redundancy across NTT and submarine cable; IPv6 is available but not the default.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"DSCP markings on outbound packets are honoured end-to-end."</w:t>
            </w:r>
          </w:p>
          <w:p>
            <w:r>
              <w:rPr>
                <w:b/>
                <w:bCs/>
                <w:color w:val="065F46"/>
              </w:rPr>
              <w:t xml:space="preserve">Right: </w:t>
            </w:r>
            <w:r>
              <w:t xml:space="preserve">DSCP is a hint, not a contract. Each router along the path may honour, ignore, or rewrite it. Inside one administrative domain (your CoLo cage, the exchange's fabric) DSCP works as designed; across providers it should be considered advisory.</w:t>
            </w:r>
          </w:p>
        </w:tc>
      </w:tr>
    </w:tbl>
    <w:p>
      <w:pPr>
        <w:pStyle w:val="ListParagraph"/>
        <w:numPr>
          <w:ilvl w:val="0"/>
          <w:numId w:val="2"/>
        </w:numPr>
      </w:pPr>
      <w:r>
        <w:rPr>
          <w:b/>
          <w:bCs/>
        </w:rPr>
        <w:t xml:space="preserve">RFC 791 — Internet Protocol — </w:t>
      </w:r>
      <w:hyperlink w:history="1" r:id="rIddob2l_ava1-yc22dasvsu">
        <w:r>
          <w:rPr>
            <w:rStyle w:val="Hyperlink"/>
          </w:rPr>
          <w:t xml:space="preserve">https://datatracker.ietf.org/doc/html/rfc791</w:t>
        </w:r>
      </w:hyperlink>
    </w:p>
    <w:p>
      <w:pPr>
        <w:pStyle w:val="ListParagraph"/>
        <w:numPr>
          <w:ilvl w:val="0"/>
          <w:numId w:val="2"/>
        </w:numPr>
      </w:pPr>
      <w:r>
        <w:rPr>
          <w:b/>
          <w:bCs/>
        </w:rPr>
        <w:t xml:space="preserve">RFC 4607 — Source-Specific Multicast — </w:t>
      </w:r>
      <w:hyperlink w:history="1" r:id="rIdfuzwwq-1tzg-swwz95_vr">
        <w:r>
          <w:rPr>
            <w:rStyle w:val="Hyperlink"/>
          </w:rPr>
          <w:t xml:space="preserve">https://datatracker.ietf.org/doc/html/rfc4607</w:t>
        </w:r>
      </w:hyperlink>
    </w:p>
    <w:p>
      <w:pPr>
        <w:pStyle w:val="Heading1"/>
        <w:pageBreakBefore/>
      </w:pPr>
      <w:r>
        <w:t xml:space="preserve">4. TCP vs UDP — the central transport-layer choice</w:t>
      </w:r>
    </w:p>
    <w:p>
      <w:pPr>
        <w:spacing w:after="120"/>
      </w:pPr>
      <w:r>
        <w:t xml:space="preserve">Every APAC exchange protocol either runs over TCP or over UDP, and the choice is never accidental. TCP gives you reliable, ordered, congestion-controlled byte streams at the cost of variable latency and round-trip handshakes. UDP gives you fire-and-forget datagrams with predictable latency at the cost of doing your own loss handling. The split in the trading world is invariant: orders go on TCP, market data goes on UDP multicast.</w:t>
      </w:r>
    </w:p>
    <w:p>
      <w:pPr>
        <w:pStyle w:val="Heading2"/>
      </w:pPr>
      <w:r>
        <w:t xml:space="preserve">Why orders use TCP</w:t>
      </w:r>
    </w:p>
    <w:p>
      <w:pPr>
        <w:spacing w:after="120"/>
      </w:pPr>
      <w:r>
        <w:t xml:space="preserve">Reliability dominates. A lost cancel that goes undetected becomes a stale resting order that fills against an unintended price; the financial loss can dwarf any latency saving. TCP's automatic retransmission, sequencing, and acknowledgement guarantee that every byte of an OUCH "Cancel" or a TMP "Cancel Order" message either arrives or the session is torn down. The cost is variable latency on retransmits and slow-start dynamics on session establishment.</w:t>
      </w:r>
    </w:p>
    <w:p>
      <w:pPr>
        <w:pStyle w:val="Heading2"/>
      </w:pPr>
      <w:r>
        <w:t xml:space="preserve">Why market data uses UDP multicast</w:t>
      </w:r>
    </w:p>
    <w:p>
      <w:pPr>
        <w:spacing w:after="120"/>
      </w:pPr>
      <w:r>
        <w:t xml:space="preserve">Reliability is unnecessary at the per-message level: a missed message is recoverable from snapshot or retransmit servers. Fan-out is essential: hundreds of subscribers want the same stream simultaneously. TCP would force the exchange to maintain N separate sessions and emit N copies of every message; UDP multicast pushes the replication into the network fabric. The cost is that each subscriber must implement gap detection and recovery.</w:t>
      </w:r>
    </w:p>
    <w:p>
      <w:pPr>
        <w:pStyle w:val="Heading2"/>
      </w:pPr>
      <w:r>
        <w:t xml:space="preserve">TCP characteristics relevant to HFT order entry</w:t>
      </w:r>
    </w:p>
    <w:p>
      <w:pPr>
        <w:pStyle w:val="ListParagraph"/>
        <w:numPr>
          <w:ilvl w:val="0"/>
          <w:numId w:val="2"/>
        </w:numPr>
      </w:pPr>
      <w:r>
        <w:rPr>
          <w:b/>
          <w:bCs/>
        </w:rPr>
        <w:t xml:space="preserve">Slow start</w:t>
      </w:r>
      <w:r>
        <w:t xml:space="preserve">  Initial congestion window is small; bandwidth ramps over the first few RTTs. Long-lived sessions amortise this.</w:t>
      </w:r>
    </w:p>
    <w:p>
      <w:pPr>
        <w:pStyle w:val="ListParagraph"/>
        <w:numPr>
          <w:ilvl w:val="0"/>
          <w:numId w:val="2"/>
        </w:numPr>
      </w:pPr>
      <w:r>
        <w:rPr>
          <w:b/>
          <w:bCs/>
        </w:rPr>
        <w:t xml:space="preserve">Nagle's algorithm</w:t>
      </w:r>
      <w:r>
        <w:t xml:space="preserve">  Coalesces small writes — disabled (TCP_NODELAY) for HFT, where every send must hit the wire immediately.</w:t>
      </w:r>
    </w:p>
    <w:p>
      <w:pPr>
        <w:pStyle w:val="ListParagraph"/>
        <w:numPr>
          <w:ilvl w:val="0"/>
          <w:numId w:val="2"/>
        </w:numPr>
      </w:pPr>
      <w:r>
        <w:rPr>
          <w:b/>
          <w:bCs/>
        </w:rPr>
        <w:t xml:space="preserve">Delayed ACK</w:t>
      </w:r>
      <w:r>
        <w:t xml:space="preserve">  Receiver may delay ACKs to coalesce them — also disabled or tuned aggressively in HFT.</w:t>
      </w:r>
    </w:p>
    <w:p>
      <w:pPr>
        <w:pStyle w:val="ListParagraph"/>
        <w:numPr>
          <w:ilvl w:val="0"/>
          <w:numId w:val="2"/>
        </w:numPr>
      </w:pPr>
      <w:r>
        <w:rPr>
          <w:b/>
          <w:bCs/>
        </w:rPr>
        <w:t xml:space="preserve">Kernel-bypass TCP</w:t>
      </w:r>
      <w:r>
        <w:t xml:space="preserve">  Solarflare TCPDirect, NVIDIA XLIO, and similar — implement TCP in user space for sub-microsecond send/receive.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TAIFEX TMP: </w:t>
            </w:r>
            <w:r>
              <w:t xml:space="preserve">TCP/IP-based, sequence-numbered separately on inbound (FCM-to-TAIFEX) and outbound (TAIFEX-to-FCM). The dual sequence-number streams are TMP's choice; TCP's own sequencing is below.</w:t>
            </w:r>
          </w:p>
          <w:p>
            <w:pPr>
              <w:spacing w:after="60"/>
            </w:pPr>
            <w:r>
              <w:rPr>
                <w:b/>
                <w:bCs/>
                <w:color w:val="0E7490"/>
              </w:rPr>
              <w:t xml:space="preserve">NSE NNF: </w:t>
            </w:r>
            <w:r>
              <w:t xml:space="preserve">TCP-only between member front-end and exchange host. The TAP-to-TAPless migration in 2016 was a topology change above L4, not a transport-layer change.</w:t>
            </w:r>
          </w:p>
          <w:p>
            <w:pPr>
              <w:spacing w:after="60"/>
            </w:pPr>
            <w:r>
              <w:rPr>
                <w:b/>
                <w:bCs/>
                <w:color w:val="0E7490"/>
              </w:rPr>
              <w:t xml:space="preserve">ASX Trade ITCH: </w:t>
            </w:r>
            <w:r>
              <w:t xml:space="preserve">UDP multicast for the live feed; SoupBinTCP (over TCP) for the recovery/retransmit channel. The classic UDP-for-broadcast / TCP-for-recovery split.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"UDP is faster than TCP at the wire level."</w:t>
            </w:r>
          </w:p>
          <w:p>
            <w:r>
              <w:rPr>
                <w:b/>
                <w:bCs/>
                <w:color w:val="065F46"/>
              </w:rPr>
              <w:t xml:space="preserve">Right: </w:t>
            </w:r>
            <w:r>
              <w:t xml:space="preserve">Per-byte, on a healthy link, they are the same. UDP wins on three things: no handshake, no retransmit-induced jitter, and no per-listener fan-out cost. On a lossy link UDP is faster only because TCP's reliability mechanisms are doing real work — work you would otherwise have to do yourself.</w:t>
            </w:r>
          </w:p>
        </w:tc>
      </w:tr>
    </w:tbl>
    <w:p>
      <w:pPr>
        <w:pStyle w:val="ListParagraph"/>
        <w:numPr>
          <w:ilvl w:val="0"/>
          <w:numId w:val="2"/>
        </w:numPr>
      </w:pPr>
      <w:r>
        <w:rPr>
          <w:b/>
          <w:bCs/>
        </w:rPr>
        <w:t xml:space="preserve">RFC 793 — Transmission Control Protocol — </w:t>
      </w:r>
      <w:hyperlink w:history="1" r:id="rIdhghtnnuxm7e2rpgro7-nr">
        <w:r>
          <w:rPr>
            <w:rStyle w:val="Hyperlink"/>
          </w:rPr>
          <w:t xml:space="preserve">https://datatracker.ietf.org/doc/html/rfc793</w:t>
        </w:r>
      </w:hyperlink>
    </w:p>
    <w:p>
      <w:pPr>
        <w:pStyle w:val="ListParagraph"/>
        <w:numPr>
          <w:ilvl w:val="0"/>
          <w:numId w:val="2"/>
        </w:numPr>
      </w:pPr>
      <w:r>
        <w:rPr>
          <w:b/>
          <w:bCs/>
        </w:rPr>
        <w:t xml:space="preserve">RFC 768 — User Datagram Protocol — </w:t>
      </w:r>
      <w:hyperlink w:history="1" r:id="rIdynsp8bg5kl9puiyvcuy4v">
        <w:r>
          <w:rPr>
            <w:rStyle w:val="Hyperlink"/>
          </w:rPr>
          <w:t xml:space="preserve">https://datatracker.ietf.org/doc/html/rfc768</w:t>
        </w:r>
      </w:hyperlink>
    </w:p>
    <w:p>
      <w:pPr>
        <w:pStyle w:val="Heading1"/>
        <w:pageBreakBefore/>
      </w:pPr>
      <w:r>
        <w:t xml:space="preserve">5. Multicast — IGMP, group plans, A/B feeds, recovery</w:t>
      </w:r>
    </w:p>
    <w:p>
      <w:pPr>
        <w:spacing w:after="120"/>
      </w:pPr>
      <w:r>
        <w:t xml:space="preserve">Multicast is the mechanism that makes exchange market data distribution work. The publisher sends one copy of each message; the network fabric replicates it to every interested subscriber. Properly designed multicast scales to thousands of receivers without changing the publisher's send rate.</w:t>
      </w:r>
    </w:p>
    <w:p>
      <w:pPr>
        <w:pStyle w:val="Heading2"/>
      </w:pPr>
      <w:r>
        <w:t xml:space="preserve">How a receiver actually joins a feed</w:t>
      </w:r>
    </w:p>
    <w:p>
      <w:pPr>
        <w:spacing w:after="120"/>
      </w:pPr>
      <w:r>
        <w:t xml:space="preserve">The receiving host issues an IGMPv3 (or IGMPv2) Join message naming the group it wants to receive. The local switch's IGMP-snooping logic learns that this port has a member of that group, and starts replicating frames for that group out of that port. Up the tree, the switch sends a PIM Join up to the multicast distribution router, which relays it toward the source. When the receiver leaves, an IGMP Leave message reverses the tree.</w:t>
      </w:r>
    </w:p>
    <w:p>
      <w:pPr>
        <w:pStyle w:val="Heading2"/>
      </w:pPr>
      <w:r>
        <w:t xml:space="preserve">Source-Specific Multicast (SSM)</w:t>
      </w:r>
    </w:p>
    <w:p>
      <w:pPr>
        <w:spacing w:after="120"/>
      </w:pPr>
      <w:r>
        <w:t xml:space="preserve">Modern exchanges all use SSM, which means the subscriber tells the network not just "give me group G" but "give me group G as published by source S". This eliminates the risk of a misconfigured or malicious sender on the LAN injecting traffic into a market-data group. Every APAC venue that publishes a multicast plan publishes (S, G) tuples, not just G.</w:t>
      </w:r>
    </w:p>
    <w:p>
      <w:pPr>
        <w:pStyle w:val="Heading2"/>
      </w:pPr>
      <w:r>
        <w:t xml:space="preserve">A/B feeds and arbitration</w:t>
      </w:r>
    </w:p>
    <w:p>
      <w:pPr>
        <w:spacing w:after="120"/>
      </w:pPr>
      <w:r>
        <w:t xml:space="preserve">Every APAC exchange that runs a low-latency multicast feed runs it twice on physically separate paths. NSE MTBT explicitly markets dual active-active channels. JPX FLEX, ASX Trade ITCH, ASX 24 MDP, KRX MDS, TAIFEX TMP MD all do the same. A subscriber receives both feeds, arbitrates by sequence number, and accepts the first-arriving copy of each message. If both feeds drop the same sequence — a rare but possible event — the subscriber falls back to TCP recovery.</w:t>
      </w:r>
    </w:p>
    <w:p>
      <w:pPr>
        <w:pStyle w:val="Heading2"/>
      </w:pPr>
      <w:r>
        <w:t xml:space="preserve">Recovery patterns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3760"/>
      </w:tblGrid>
      <w:tr>
        <w:trPr>
          <w:tblHeader/>
        </w:trPr>
        <w:tc>
          <w:tcPr>
            <w:tcW w:type="dxa" w:w="24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Pattern</w:t>
            </w:r>
          </w:p>
        </w:tc>
        <w:tc>
          <w:tcPr>
            <w:tcW w:type="dxa" w:w="32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When used</w:t>
            </w:r>
          </w:p>
        </w:tc>
        <w:tc>
          <w:tcPr>
            <w:tcW w:type="dxa" w:w="37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APAC examples</w:t>
            </w:r>
          </w:p>
        </w:tc>
      </w:tr>
      <w:tr>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In-band retransmit</w:t>
            </w:r>
          </w:p>
        </w:tc>
        <w:tc>
          <w:tcPr>
            <w:tcW w:type="dxa" w:w="3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Small gaps; request a sequence-number range over a TCP retransmit server</w:t>
            </w:r>
          </w:p>
        </w:tc>
        <w:tc>
          <w:tcPr>
            <w:tcW w:type="dxa" w:w="37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ASX SoupBinTCP recovery, NSE MTBT TCP gap recovery, Cboe AU Gap Request Proxy</w:t>
            </w:r>
          </w:p>
        </w:tc>
      </w:tr>
      <w:tr>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Snapshot recovery</w:t>
            </w:r>
          </w:p>
        </w:tc>
        <w:tc>
          <w:tcPr>
            <w:tcW w:type="dxa" w:w="3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Large gaps; pull a full point-in-time book snapshot, resume on live feed</w:t>
            </w:r>
          </w:p>
        </w:tc>
        <w:tc>
          <w:tcPr>
            <w:tcW w:type="dxa" w:w="37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JPX FLEX snapshot service, Cboe AU Spin Server, BSE BOLT+ snapshot</w:t>
            </w:r>
          </w:p>
        </w:tc>
      </w:tr>
      <w:tr>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Cold start / start-of-day</w:t>
            </w:r>
          </w:p>
        </w:tc>
        <w:tc>
          <w:tcPr>
            <w:tcW w:type="dxa" w:w="3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Session start or extended outage; replay from beginning of day</w:t>
            </w:r>
          </w:p>
        </w:tc>
        <w:tc>
          <w:tcPr>
            <w:tcW w:type="dxa" w:w="37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NSE start-of-day broadcast, ASX Trade ITCH session-start, TAIFEX EOD/SOD reference data via File Transfer spec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MTBT: </w:t>
            </w:r>
            <w:r>
              <w:t xml:space="preserve">the dual active-active multicast pair is the canonical APAC A/B feed. Subscribers on NSE Co-Lo see both groups, arbitrate by sequence, and use the TCP recovery server for gaps.</w:t>
            </w:r>
          </w:p>
          <w:p>
            <w:pPr>
              <w:spacing w:after="60"/>
            </w:pPr>
            <w:r>
              <w:rPr>
                <w:b/>
                <w:bCs/>
                <w:color w:val="0E7490"/>
              </w:rPr>
              <w:t xml:space="preserve">JPX FLEX Standard vs FLEX Full: </w:t>
            </w:r>
            <w:r>
              <w:t xml:space="preserve">two separate multicast services with different group plans. FLEX Standard is aggregated top-of-book; FLEX Full is full order-by-order. A subscriber chooses based on use-case, not redundancy — A/B is a separate axis.</w:t>
            </w:r>
          </w:p>
          <w:p>
            <w:pPr>
              <w:spacing w:after="60"/>
            </w:pPr>
            <w:r>
              <w:rPr>
                <w:b/>
                <w:bCs/>
                <w:color w:val="0E7490"/>
              </w:rPr>
              <w:t xml:space="preserve">TAIFEX MD: </w:t>
            </w:r>
            <w:r>
              <w:t xml:space="preserve">UDP multicast group lists are gated; the public TMP PDF describes the protocol, but the (S, G) tuples come through TAIFEX member services.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"Multicast is faster than unicast on the wire."</w:t>
            </w:r>
          </w:p>
          <w:p>
            <w:r>
              <w:rPr>
                <w:b/>
                <w:bCs/>
                <w:color w:val="065F46"/>
              </w:rPr>
              <w:t xml:space="preserve">Right: </w:t>
            </w:r>
            <w:r>
              <w:t xml:space="preserve">Per-byte wire latency is identical. Multicast wins on fan-out: one publisher emits one copy, the network replicates. The effective latency advantage at scale is enormous, but it is not in the bits' speed of travel.</w:t>
            </w:r>
          </w:p>
        </w:tc>
      </w:tr>
    </w:tbl>
    <w:p>
      <w:pPr>
        <w:pStyle w:val="ListParagraph"/>
        <w:numPr>
          <w:ilvl w:val="0"/>
          <w:numId w:val="2"/>
        </w:numPr>
      </w:pPr>
      <w:r>
        <w:rPr>
          <w:b/>
          <w:bCs/>
        </w:rPr>
        <w:t xml:space="preserve">RFC 4541 — IGMP/MLD snooping — </w:t>
      </w:r>
      <w:hyperlink w:history="1" r:id="rIdfbrbkysedcablp8mwl1ds">
        <w:r>
          <w:rPr>
            <w:rStyle w:val="Hyperlink"/>
          </w:rPr>
          <w:t xml:space="preserve">https://datatracker.ietf.org/doc/html/rfc4541</w:t>
        </w:r>
      </w:hyperlink>
    </w:p>
    <w:p>
      <w:pPr>
        <w:pStyle w:val="ListParagraph"/>
        <w:numPr>
          <w:ilvl w:val="0"/>
          <w:numId w:val="2"/>
        </w:numPr>
      </w:pPr>
      <w:r>
        <w:rPr>
          <w:b/>
          <w:bCs/>
        </w:rPr>
        <w:t xml:space="preserve">RFC 3376 — IGMPv3 — </w:t>
      </w:r>
      <w:hyperlink w:history="1" r:id="rId1bv6bop-4i4ps3qnf4hut">
        <w:r>
          <w:rPr>
            <w:rStyle w:val="Hyperlink"/>
          </w:rPr>
          <w:t xml:space="preserve">https://datatracker.ietf.org/doc/html/rfc3376</w:t>
        </w:r>
      </w:hyperlink>
    </w:p>
    <w:p>
      <w:pPr>
        <w:pStyle w:val="Heading1"/>
        <w:pageBreakBefore/>
      </w:pPr>
      <w:r>
        <w:t xml:space="preserve">Theme B — Encoding, framing, and recovery</w:t>
      </w:r>
    </w:p>
    <w:p>
      <w:pPr>
        <w:spacing w:after="120"/>
      </w:pPr>
      <w:r>
        <w:t xml:space="preserve">Theme A established where things sit. Theme B is about how the bytes are arranged. Encoding determines how fast a parser can run; framing determines how sessions sequence and recover; tick-to-trade is what we measure when both are working. The five chapters in this theme are where APAC connectivity work spends most of its actual implementation time.</w:t>
      </w:r>
    </w:p>
    <w:p>
      <w:pPr>
        <w:pStyle w:val="Heading1"/>
        <w:pageBreakBefore/>
      </w:pPr>
      <w:r>
        <w:t xml:space="preserve">6. Binary vs ASCII encoding — and why it matters</w:t>
      </w:r>
    </w:p>
    <w:p>
      <w:pPr>
        <w:spacing w:after="120"/>
      </w:pPr>
      <w:r>
        <w:t xml:space="preserve">The wire format you choose to encode an application message in determines the parser's complexity, the FPGA's feasibility, and the fault-isolation tooling you can use. APAC venues run the full spread: pure fixed-offset binary at one extreme, ASCII tag=value at the other, and a few hybrids in between.</w:t>
      </w:r>
    </w:p>
    <w:p>
      <w:pPr>
        <w:pStyle w:val="Heading2"/>
      </w:pPr>
      <w:r>
        <w:t xml:space="preserve">Fixed-offset binary — the dominant native style</w:t>
      </w:r>
    </w:p>
    <w:p>
      <w:pPr>
        <w:spacing w:after="120"/>
      </w:pPr>
      <w:r>
        <w:t xml:space="preserve">TMP, OUCH, ITCH, FLEX Full, MTBT, EXTURE+, NNF and J-GATE ITCH are all fixed-offset binary. Every field starts at a known byte offset, has a known type and width, and is big-endian. To parse, a receiver reads the message-type byte and dispatches to a per-type struct cast. No tokenising, no string parsing, no variable-length scan. An FPGA can build the same parser in hardware as a fixed pipeline. Latency: nanoseconds in hardware, hundreds of nanoseconds in optimised C++.</w:t>
      </w:r>
    </w:p>
    <w:p>
      <w:pPr>
        <w:pStyle w:val="Heading2"/>
      </w:pPr>
      <w:r>
        <w:t xml:space="preserve">Tag=value ASCII — FIX</w:t>
      </w:r>
    </w:p>
    <w:p>
      <w:pPr>
        <w:spacing w:after="120"/>
      </w:pPr>
      <w:r>
        <w:t xml:space="preserve">FIX messages are ASCII tag=value pairs separated by SOH (0x01). Fields appear in any order, are variable length, and require parsing logic that walks the bytes searching for separators. Latency: low microseconds even for tuned engines. FIX wins on flexibility (custom tags, cross-version compatibility) and ecosystem breadth (every vendor speaks it).</w:t>
      </w:r>
    </w:p>
    <w:p>
      <w:pPr>
        <w:pStyle w:val="Heading2"/>
      </w:pPr>
      <w:r>
        <w:t xml:space="preserve">FAST/FIX — compressed binary FIX</w:t>
      </w:r>
    </w:p>
    <w:p>
      <w:pPr>
        <w:spacing w:after="120"/>
      </w:pPr>
      <w:r>
        <w:t xml:space="preserve">FAST (FIX Adapted for STreaming) is a binary, presence-mapped, delta-encoded compression of FIX. It keeps FIX semantics but produces wire bytes that are roughly 70–80 percent smaller and significantly faster to decode than ASCII. BSE's market-data multicast is FAST/FIX. CME's earlier multicast feeds were FAST until the move to SBE.</w:t>
      </w:r>
    </w:p>
    <w:p>
      <w:pPr>
        <w:pStyle w:val="Heading2"/>
      </w:pPr>
      <w:r>
        <w:t xml:space="preserve">SBE (Simple Binary Encoding)</w:t>
      </w:r>
    </w:p>
    <w:p>
      <w:pPr>
        <w:spacing w:after="120"/>
      </w:pPr>
      <w:r>
        <w:t xml:space="preserve">SBE is the FIX Trading Community's modern binary encoding standard — fixed-offset, schema-driven, with explicit support for variable-length fields. It is what CME MDP 3.0 uses today. APAC venues have not yet broadly adopted SBE for their native protocols, but BSE ETI's FIX 5.0 SP2 semantics and Eurex T7 lineage put it adjacent to the SBE world.</w:t>
      </w:r>
    </w:p>
    <w:p>
      <w:pPr>
        <w:pStyle w:val="Heading2"/>
      </w:pPr>
      <w:r>
        <w:t xml:space="preserve">OMB — BSE BOLT+ IML's session bus</w:t>
      </w:r>
    </w:p>
    <w:p>
      <w:pPr>
        <w:spacing w:after="120"/>
      </w:pPr>
      <w:r>
        <w:t xml:space="preserve">OMB (Open Message Bus) is the BSE-internal message bus that IML rides on. It defines a binary framing and routing layer between member trading apps and the exchange host. Documented in IML OMB v57.55. From outside, you talk OMB; the exchange-side infrastructure de-multiplexes.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TAIFEX TMP: </w:t>
            </w:r>
            <w:r>
              <w:t xml:space="preserve">explicitly states big-endian byte order with sequence-numbered, asynchronous binary messages. A textbook fixed-offset binary protocol.</w:t>
            </w:r>
          </w:p>
          <w:p>
            <w:pPr>
              <w:spacing w:after="60"/>
            </w:pPr>
            <w:r>
              <w:rPr>
                <w:b/>
                <w:bCs/>
                <w:color w:val="0E7490"/>
              </w:rPr>
              <w:t xml:space="preserve">NSE NNF: </w:t>
            </w:r>
            <w:r>
              <w:t xml:space="preserve">binary, fixed-length records over TCP; the trimmed public spec gives field offsets but not all message types.</w:t>
            </w:r>
          </w:p>
          <w:p>
            <w:pPr>
              <w:spacing w:after="60"/>
            </w:pPr>
            <w:r>
              <w:rPr>
                <w:b/>
                <w:bCs/>
                <w:color w:val="0E7490"/>
              </w:rPr>
              <w:t xml:space="preserve">BSE BOLT+ ETI: </w:t>
            </w:r>
            <w:r>
              <w:t xml:space="preserve">FIX 5.0 SP2 semantics over a faster binary framing — closest thing to SBE in the APAC stack.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"FIX is slow because it is text-based."</w:t>
            </w:r>
          </w:p>
          <w:p>
            <w:r>
              <w:rPr>
                <w:b/>
                <w:bCs/>
                <w:color w:val="065F46"/>
              </w:rPr>
              <w:t xml:space="preserve">Right: </w:t>
            </w:r>
            <w:r>
              <w:t xml:space="preserve">Encoding is one factor among several. Variable field ordering, optional fields, session machinery (heartbeats, sequence tracking, replay), and version negotiation all compound. Binary FIX (SBE) addresses the encoding cost without removing the others.</w:t>
            </w:r>
          </w:p>
        </w:tc>
      </w:tr>
    </w:tbl>
    <w:p>
      <w:pPr>
        <w:pStyle w:val="ListParagraph"/>
        <w:numPr>
          <w:ilvl w:val="0"/>
          <w:numId w:val="2"/>
        </w:numPr>
      </w:pPr>
      <w:r>
        <w:rPr>
          <w:b/>
          <w:bCs/>
        </w:rPr>
        <w:t xml:space="preserve">FAST Protocol specification — </w:t>
      </w:r>
      <w:hyperlink w:history="1" r:id="rIdqse86wyl7zrybstxd51f9">
        <w:r>
          <w:rPr>
            <w:rStyle w:val="Hyperlink"/>
          </w:rPr>
          <w:t xml:space="preserve">https://www.fixtrading.org/standards/fast/</w:t>
        </w:r>
      </w:hyperlink>
    </w:p>
    <w:p>
      <w:pPr>
        <w:pStyle w:val="ListParagraph"/>
        <w:numPr>
          <w:ilvl w:val="0"/>
          <w:numId w:val="2"/>
        </w:numPr>
      </w:pPr>
      <w:r>
        <w:rPr>
          <w:b/>
          <w:bCs/>
        </w:rPr>
        <w:t xml:space="preserve">Simple Binary Encoding (SBE) — </w:t>
      </w:r>
      <w:hyperlink w:history="1" r:id="rIdhd_tjwbcwyewes2nfzu2x">
        <w:r>
          <w:rPr>
            <w:rStyle w:val="Hyperlink"/>
          </w:rPr>
          <w:t xml:space="preserve">https://www.fixtrading.org/standards/sbe/</w:t>
        </w:r>
      </w:hyperlink>
    </w:p>
    <w:p>
      <w:pPr>
        <w:pStyle w:val="Heading1"/>
        <w:pageBreakBefore/>
      </w:pPr>
      <w:r>
        <w:t xml:space="preserve">7. FAST and SBE in detail</w:t>
      </w:r>
    </w:p>
    <w:p>
      <w:pPr>
        <w:spacing w:after="120"/>
      </w:pPr>
      <w:r>
        <w:t xml:space="preserve">FAST and SBE both compress FIX-style data onto a binary wire, but they take different approaches. Both matter for APAC because BSE's market data uses FAST and any future native binary moves on APAC venues are likely to land on SBE.</w:t>
      </w:r>
    </w:p>
    <w:p>
      <w:pPr>
        <w:pStyle w:val="Heading2"/>
      </w:pPr>
      <w:r>
        <w:t xml:space="preserve">FAST — presence maps and deltas</w:t>
      </w:r>
    </w:p>
    <w:p>
      <w:pPr>
        <w:spacing w:after="120"/>
      </w:pPr>
      <w:r>
        <w:t xml:space="preserve">FAST encodes each field with two pieces of metadata: a presence map indicating which fields in the schema are present in this message, and an operator (copy, delta, increment, default) describing how to derive the value from the previous message in the stream. A NewOrderSingle that differs from the previous one only in price encodes as a tiny delta. Decoding requires maintaining a per-stream dictionary of last-seen values.</w:t>
      </w:r>
    </w:p>
    <w:p>
      <w:pPr>
        <w:spacing w:after="120"/>
      </w:pPr>
      <w:r>
        <w:t xml:space="preserve">FAST is excellent for high-volume market data where field values change incrementally. The downside is operational: state-bearing decoders must be in sync; a missed message can desynchronise the dictionary, requiring a snapshot. BSE's multicast market data uses FAST/FIX with this exact pattern.</w:t>
      </w:r>
    </w:p>
    <w:p>
      <w:pPr>
        <w:pStyle w:val="Heading2"/>
      </w:pPr>
      <w:r>
        <w:t xml:space="preserve">SBE — fixed-offset binary</w:t>
      </w:r>
    </w:p>
    <w:p>
      <w:pPr>
        <w:spacing w:after="120"/>
      </w:pPr>
      <w:r>
        <w:t xml:space="preserve">SBE rejects FAST's stateful approach. Each message stands alone; no dictionary. Fields are at known offsets with known types, exactly like TMP or OUCH. SBE adds schema versioning: a message carries a template-id and version, and the receiver looks up the matching schema definition at parse time. Variable-length fields are length-prefixed.</w:t>
      </w:r>
    </w:p>
    <w:p>
      <w:pPr>
        <w:spacing w:after="120"/>
      </w:pPr>
      <w:r>
        <w:t xml:space="preserve">SBE wins on parser simplicity (memcpy at fixed offsets) and FPGA-friendliness. It loses on wire size compared to FAST for highly redundant streams. CME chose it for MDP 3.0; the FIX TC promotes it for new applications.</w:t>
      </w:r>
    </w:p>
    <w:p>
      <w:pPr>
        <w:pStyle w:val="Heading2"/>
      </w:pPr>
      <w:r>
        <w:t xml:space="preserve">When to choose which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rPr>
          <w:tblHeader/>
        </w:trPr>
        <w:tc>
          <w:tcPr>
            <w:tcW w:type="dxa" w:w="22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Property</w:t>
            </w:r>
          </w:p>
        </w:tc>
        <w:tc>
          <w:tcPr>
            <w:tcW w:type="dxa" w:w="358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FAST</w:t>
            </w:r>
          </w:p>
        </w:tc>
        <w:tc>
          <w:tcPr>
            <w:tcW w:type="dxa" w:w="358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SBE</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Wire size</w:t>
            </w:r>
          </w:p>
        </w:tc>
        <w:tc>
          <w:tcPr>
            <w:tcW w:type="dxa" w:w="358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Smaller (delta-encoded)</w:t>
            </w:r>
          </w:p>
        </w:tc>
        <w:tc>
          <w:tcPr>
            <w:tcW w:type="dxa" w:w="358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Larger (no compression)</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Parser complexity</w:t>
            </w:r>
          </w:p>
        </w:tc>
        <w:tc>
          <w:tcPr>
            <w:tcW w:type="dxa" w:w="358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Stateful dictionary required</w:t>
            </w:r>
          </w:p>
        </w:tc>
        <w:tc>
          <w:tcPr>
            <w:tcW w:type="dxa" w:w="358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Stateless, fixed offsets</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FPGA-friendly</w:t>
            </w:r>
          </w:p>
        </w:tc>
        <w:tc>
          <w:tcPr>
            <w:tcW w:type="dxa" w:w="358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Awkward</w:t>
            </w:r>
          </w:p>
        </w:tc>
        <w:tc>
          <w:tcPr>
            <w:tcW w:type="dxa" w:w="358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Excellent</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Snapshot dependence</w:t>
            </w:r>
          </w:p>
        </w:tc>
        <w:tc>
          <w:tcPr>
            <w:tcW w:type="dxa" w:w="358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Critical</w:t>
            </w:r>
          </w:p>
        </w:tc>
        <w:tc>
          <w:tcPr>
            <w:tcW w:type="dxa" w:w="358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Not required per message</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APAC examples</w:t>
            </w:r>
          </w:p>
        </w:tc>
        <w:tc>
          <w:tcPr>
            <w:tcW w:type="dxa" w:w="358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BSE multicast MD</w:t>
            </w:r>
          </w:p>
        </w:tc>
        <w:tc>
          <w:tcPr>
            <w:tcW w:type="dxa" w:w="358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Adjacent — CME MDP 3.0; potential future APAC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BSE: </w:t>
            </w:r>
            <w:r>
              <w:t xml:space="preserve">FAST/FIX is the production multicast format. A FAST decoder must hold a per-stream dictionary; subscribers run snapshot recovery if they desynchronise.</w:t>
            </w:r>
          </w:p>
          <w:p>
            <w:pPr>
              <w:spacing w:after="60"/>
            </w:pPr>
            <w:r>
              <w:rPr>
                <w:b/>
                <w:bCs/>
                <w:color w:val="0E7490"/>
              </w:rPr>
              <w:t xml:space="preserve">NSE: </w:t>
            </w:r>
            <w:r>
              <w:t xml:space="preserve">uses neither FAST nor SBE. NNF and MTBT are bespoke fixed-offset binary, conceptually closer to SBE but not schema-driven.</w:t>
            </w:r>
          </w:p>
          <w:p>
            <w:pPr>
              <w:spacing w:after="60"/>
            </w:pPr>
            <w:r>
              <w:rPr>
                <w:b/>
                <w:bCs/>
                <w:color w:val="0E7490"/>
              </w:rPr>
              <w:t xml:space="preserve">CME (comparator): </w:t>
            </w:r>
            <w:r>
              <w:t xml:space="preserve">moved from FAST to SBE for MDP 3.0 explicitly to simplify the parser path and enable FPGA acceleration. APAC venues that retire legacy FAST will probably look at SBE next.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"FAST decoders are deterministic — given the same bytes, you always get the same message."</w:t>
            </w:r>
          </w:p>
          <w:p>
            <w:r>
              <w:rPr>
                <w:b/>
                <w:bCs/>
                <w:color w:val="065F46"/>
              </w:rPr>
              <w:t xml:space="preserve">Right: </w:t>
            </w:r>
            <w:r>
              <w:t xml:space="preserve">FAST decoders are deterministic given the same bytes AND the same prior dictionary state. A subscriber that came in mid-stream cannot decode a delta-encoded field correctly until it has a snapshot. State management is the load-bearing piece.</w:t>
            </w:r>
          </w:p>
        </w:tc>
      </w:tr>
    </w:tbl>
    <w:p>
      <w:pPr>
        <w:pStyle w:val="ListParagraph"/>
        <w:numPr>
          <w:ilvl w:val="0"/>
          <w:numId w:val="2"/>
        </w:numPr>
      </w:pPr>
      <w:r>
        <w:rPr>
          <w:b/>
          <w:bCs/>
        </w:rPr>
        <w:t xml:space="preserve">BSE BOLT+ ETI / IML / FAST docs (BSE) — </w:t>
      </w:r>
      <w:hyperlink w:history="1" r:id="rIdy1cmpdy5plhijbpu47xpi">
        <w:r>
          <w:rPr>
            <w:rStyle w:val="Hyperlink"/>
          </w:rPr>
          <w:t xml:space="preserve">https://www.bseindia.com/markets/Equity/EquityCash/connect.html</w:t>
        </w:r>
      </w:hyperlink>
    </w:p>
    <w:p>
      <w:pPr>
        <w:pStyle w:val="ListParagraph"/>
        <w:numPr>
          <w:ilvl w:val="0"/>
          <w:numId w:val="2"/>
        </w:numPr>
      </w:pPr>
      <w:r>
        <w:rPr>
          <w:b/>
          <w:bCs/>
        </w:rPr>
        <w:t xml:space="preserve">FIX TC SBE specification — </w:t>
      </w:r>
      <w:hyperlink w:history="1" r:id="rIdhddlujakwdotfdjibe4sj">
        <w:r>
          <w:rPr>
            <w:rStyle w:val="Hyperlink"/>
          </w:rPr>
          <w:t xml:space="preserve">https://www.fixtrading.org/standards/sbe/</w:t>
        </w:r>
      </w:hyperlink>
    </w:p>
    <w:p>
      <w:pPr>
        <w:pStyle w:val="Heading1"/>
        <w:pageBreakBefore/>
      </w:pPr>
      <w:r>
        <w:t xml:space="preserve">8. Session and transport wrappers — SoupBinTCP, MoldUDP64, OMB, TMP framing, ETI session</w:t>
      </w:r>
    </w:p>
    <w:p>
      <w:pPr>
        <w:spacing w:after="120"/>
      </w:pPr>
      <w:r>
        <w:t xml:space="preserve">Every APAC native protocol has a session-layer wrapper between the L7 message and L4 (TCP or UDP). The wrapper handles login, sequencing, heartbeats, and recovery hooks. Misunderstanding the wrapper is the most common cause of integration bugs — receivers debug the L7 message and miss that the session layer has lost sync.</w:t>
      </w:r>
    </w:p>
    <w:p>
      <w:pPr>
        <w:pStyle w:val="Heading2"/>
      </w:pPr>
      <w:r>
        <w:t xml:space="preserve">SoupBinTCP — the Nasdaq family wrapper</w:t>
      </w:r>
    </w:p>
    <w:p>
      <w:pPr>
        <w:spacing w:after="120"/>
      </w:pPr>
      <w:r>
        <w:t xml:space="preserve">Every Nasdaq Genium INET-derived venue uses SoupBinTCP for TCP-based sessions. Format: 2-byte big-endian length, 1-byte type, payload. Types include 'L' Login Request, 'A' Login Accepted, 'J' Login Rejected, 'U' Unsequenced Data, 'S' Sequenced Data, 'H' Server Heartbeat, 'R' Client Heartbeat, 'O' Logout, 'Z' End of Session. Sequenced data ('S') carries an implicit sequence number that increments by one per packet; on reconnect the client requests resumption at last-seen+1.</w:t>
      </w:r>
    </w:p>
    <w:p>
      <w:pPr>
        <w:spacing w:after="120"/>
      </w:pPr>
      <w:r>
        <w:t xml:space="preserve">ASX Trade OUCH and the recovery side of ASX Trade ITCH ride SoupBinTCP. OSE J-GATE OUCH does too. NSE NNF does NOT — NSE has its own session layer. Conflating the two is a common bug.</w:t>
      </w:r>
    </w:p>
    <w:p>
      <w:pPr>
        <w:pStyle w:val="Heading2"/>
      </w:pPr>
      <w:r>
        <w:t xml:space="preserve">MoldUDP64 — the multicast wrapper</w:t>
      </w:r>
    </w:p>
    <w:p>
      <w:pPr>
        <w:spacing w:after="120"/>
      </w:pPr>
      <w:r>
        <w:t xml:space="preserve">MoldUDP64 wraps multiple application messages into one UDP datagram. Header: 10-byte session id, 8-byte sequence number of the first message in the packet, 2-byte message count. Body: a sequence of length-prefixed messages. Sequence numbers are per-stream-wide and form the basis for all gap detection and recovery.</w:t>
      </w:r>
    </w:p>
    <w:p>
      <w:pPr>
        <w:spacing w:after="120"/>
      </w:pPr>
      <w:r>
        <w:t xml:space="preserve">ASX Trade ITCH multicast uses MoldUDP64. JPX J-GATE ITCH conceptually does too, though JPX brands the framing differently in their (gated) connectivity manuals.</w:t>
      </w:r>
    </w:p>
    <w:p>
      <w:pPr>
        <w:pStyle w:val="Heading2"/>
      </w:pPr>
      <w:r>
        <w:t xml:space="preserve">OMB — BSE's bus</w:t>
      </w:r>
    </w:p>
    <w:p>
      <w:pPr>
        <w:spacing w:after="120"/>
      </w:pPr>
      <w:r>
        <w:t xml:space="preserve">OMB is the Open Message Bus that BSE BOLT+ IML uses internally. Member trading platform sessions speak OMB; the exchange decodes and routes. From the connectivity engineer's perspective OMB is a session-layer protocol with its own framing, login, and heartbeat structure. Documented in IML OMB v57.55.</w:t>
      </w:r>
    </w:p>
    <w:p>
      <w:pPr>
        <w:pStyle w:val="Heading2"/>
      </w:pPr>
      <w:r>
        <w:t xml:space="preserve">TMP's own framing</w:t>
      </w:r>
    </w:p>
    <w:p>
      <w:pPr>
        <w:spacing w:after="120"/>
      </w:pPr>
      <w:r>
        <w:t xml:space="preserve">TAIFEX TMP does not borrow Nasdaq's SoupBinTCP. The TMP spec defines its own length-prefixed, sequence-numbered framing on top of TCP. Inbound (FCM-to-TAIFEX) and outbound (TAIFEX-to-FCM) sequences are independent and must each be monotonic. The framing also handles heartbeats and the asynchronous send pattern.</w:t>
      </w:r>
    </w:p>
    <w:p>
      <w:pPr>
        <w:pStyle w:val="Heading2"/>
      </w:pPr>
      <w:r>
        <w:t xml:space="preserve">ETI session</w:t>
      </w:r>
    </w:p>
    <w:p>
      <w:pPr>
        <w:spacing w:after="120"/>
      </w:pPr>
      <w:r>
        <w:t xml:space="preserve">BSE BOLT+ ETI inherits the Eurex T7 session layer: a binary framing with explicit login, application sequence numbers, and replay. It is FIX 5.0 SP2 semantics at L7 with a faster binary session beneath.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ASX Trade: </w:t>
            </w:r>
            <w:r>
              <w:t xml:space="preserve">SoupBinTCP is mandatory for both OUCH OE and the ITCH recovery path. The OMnet/OUCH/FIX Migration Guide (December 2024) is the canonical bridging document for legacy users.</w:t>
            </w:r>
          </w:p>
          <w:p>
            <w:pPr>
              <w:spacing w:after="60"/>
            </w:pPr>
            <w:r>
              <w:rPr>
                <w:b/>
                <w:bCs/>
                <w:color w:val="0E7490"/>
              </w:rPr>
              <w:t xml:space="preserve">TAIFEX: </w:t>
            </w:r>
            <w:r>
              <w:t xml:space="preserve">spec section 'Each message is sequence-numbered; inbound (FCM-to-TAIFEX) and outbound (TAIFEX-to-FCM) sequences are discrete and must be monotonic on each side' is the literal wording from the v2.15.0 spec.</w:t>
            </w:r>
          </w:p>
          <w:p>
            <w:pPr>
              <w:spacing w:after="60"/>
            </w:pPr>
            <w:r>
              <w:rPr>
                <w:b/>
                <w:bCs/>
                <w:color w:val="0E7490"/>
              </w:rPr>
              <w:t xml:space="preserve">BSE: </w:t>
            </w:r>
            <w:r>
              <w:t xml:space="preserve">IML over OMB (member-to-exchange) and ETI (FIX 5.0 SP2 over a binary session) coexist. Both go through BOLTPLUS Connectivity Manual v1.4 for IP allocation and onboarding.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"The session layer is just plumbing; the message catalogue is what matters."</w:t>
            </w:r>
          </w:p>
          <w:p>
            <w:r>
              <w:rPr>
                <w:b/>
                <w:bCs/>
                <w:color w:val="065F46"/>
              </w:rPr>
              <w:t xml:space="preserve">Right: </w:t>
            </w:r>
            <w:r>
              <w:t xml:space="preserve">Plumbing leaks. A wrong byte-swap on a MoldUDP64 sequence number disables gap detection silently. A miscounted SoupBinTCP type byte corrupts every subsequent message. Always exercise the session-layer edge cases (logout, gap recovery, heartbeat timeout) in conformance testing — not just the happy path.</w:t>
            </w:r>
          </w:p>
        </w:tc>
      </w:tr>
    </w:tbl>
    <w:p>
      <w:pPr>
        <w:pStyle w:val="ListParagraph"/>
        <w:numPr>
          <w:ilvl w:val="0"/>
          <w:numId w:val="2"/>
        </w:numPr>
      </w:pPr>
      <w:r>
        <w:rPr>
          <w:b/>
          <w:bCs/>
        </w:rPr>
        <w:t xml:space="preserve">SoupBinTCP specification (Nasdaq) — </w:t>
      </w:r>
      <w:hyperlink w:history="1" r:id="rIdntytqoiyczsq9g72b_pm2">
        <w:r>
          <w:rPr>
            <w:rStyle w:val="Hyperlink"/>
          </w:rPr>
          <w:t xml:space="preserve">https://www.nasdaqtrader.com/content/technicalsupport/specifications/dataproducts/soupbintcp.pdf</w:t>
        </w:r>
      </w:hyperlink>
    </w:p>
    <w:p>
      <w:pPr>
        <w:pStyle w:val="ListParagraph"/>
        <w:numPr>
          <w:ilvl w:val="0"/>
          <w:numId w:val="2"/>
        </w:numPr>
      </w:pPr>
      <w:r>
        <w:rPr>
          <w:b/>
          <w:bCs/>
        </w:rPr>
        <w:t xml:space="preserve">MoldUDP64 specification (Nasdaq) — </w:t>
      </w:r>
      <w:hyperlink w:history="1" r:id="rIdavqvrutmnd5ssxyldbz7w">
        <w:r>
          <w:rPr>
            <w:rStyle w:val="Hyperlink"/>
          </w:rPr>
          <w:t xml:space="preserve">https://www.nasdaqtrader.com/content/technicalsupport/specifications/dataproducts/moldudp64.pdf</w:t>
        </w:r>
      </w:hyperlink>
    </w:p>
    <w:p>
      <w:pPr>
        <w:pStyle w:val="ListParagraph"/>
        <w:numPr>
          <w:ilvl w:val="0"/>
          <w:numId w:val="2"/>
        </w:numPr>
      </w:pPr>
      <w:r>
        <w:rPr>
          <w:b/>
          <w:bCs/>
        </w:rPr>
        <w:t xml:space="preserve">BSE BOLT+ Connectivity Manual — </w:t>
      </w:r>
      <w:hyperlink w:history="1" r:id="rIdolhkaqan2lkkhwqaneex-">
        <w:r>
          <w:rPr>
            <w:rStyle w:val="Hyperlink"/>
          </w:rPr>
          <w:t xml:space="preserve">https://www.bseindia.com/markets/Equity/EquityCash/connect.html</w:t>
        </w:r>
      </w:hyperlink>
    </w:p>
    <w:p>
      <w:pPr>
        <w:pStyle w:val="Heading1"/>
        <w:pageBreakBefore/>
      </w:pPr>
      <w:r>
        <w:t xml:space="preserve">9. Sequence numbers, gap detection, and recovery</w:t>
      </w:r>
    </w:p>
    <w:p>
      <w:pPr>
        <w:spacing w:after="120"/>
      </w:pPr>
      <w:r>
        <w:t xml:space="preserve">A sequence number is the simplest reliability primitive in distributed systems. The publisher assigns a monotonically increasing number to each message; the subscriber tracks the next-expected number; a mismatch means a gap. From this primitive, every market-data recovery scheme in APAC is built.</w:t>
      </w:r>
    </w:p>
    <w:p>
      <w:pPr>
        <w:pStyle w:val="Heading2"/>
      </w:pPr>
      <w:r>
        <w:t xml:space="preserve">Sequence number scope</w:t>
      </w:r>
    </w:p>
    <w:p>
      <w:pPr>
        <w:spacing w:after="120"/>
      </w:pPr>
      <w:r>
        <w:t xml:space="preserve">Sequence numbers are scoped to a stream. "Stream" can mean: a single multicast group (most APAC MD feeds), the union of all OUCH responses on a session (ASX), or a logical channel inside a multiplexed transport (TMP's separate inbound/outbound sequences). Conflating two streams' sequence spaces is a common source of false-gap alerts.</w:t>
      </w:r>
    </w:p>
    <w:p>
      <w:pPr>
        <w:pStyle w:val="Heading2"/>
      </w:pPr>
      <w:r>
        <w:t xml:space="preserve">Detecting a gap</w:t>
      </w:r>
    </w:p>
    <w:p>
      <w:pPr>
        <w:spacing w:after="120"/>
      </w:pPr>
      <w:r>
        <w:t xml:space="preserve">On each received message, compare the sequence number to last_seq + 1. If less, it's a duplicate (drop it). If equal, advance. If greater, you have a gap — and you have a choice between waiting briefly (in case the missing message is on the slower of an A/B pair) or initiating recovery immediately. Most production handlers implement a small grace window of microseconds.</w:t>
      </w:r>
    </w:p>
    <w:p>
      <w:pPr>
        <w:pStyle w:val="Heading2"/>
      </w:pPr>
      <w:r>
        <w:t xml:space="preserve">Recovery options, ordered by cost</w:t>
      </w:r>
    </w:p>
    <w:p>
      <w:pPr>
        <w:pStyle w:val="ListParagraph"/>
        <w:numPr>
          <w:ilvl w:val="0"/>
          <w:numId w:val="2"/>
        </w:numPr>
      </w:pPr>
      <w:r>
        <w:rPr>
          <w:b/>
          <w:bCs/>
        </w:rPr>
        <w:t xml:space="preserve">Wait for the other feed</w:t>
      </w:r>
      <w:r>
        <w:t xml:space="preserve">  Cheapest. The missing message may already be in flight on the B-feed. Grace window: tens of microseconds, sometimes longer for slower paths.</w:t>
      </w:r>
    </w:p>
    <w:p>
      <w:pPr>
        <w:pStyle w:val="ListParagraph"/>
        <w:numPr>
          <w:ilvl w:val="0"/>
          <w:numId w:val="2"/>
        </w:numPr>
      </w:pPr>
      <w:r>
        <w:rPr>
          <w:b/>
          <w:bCs/>
        </w:rPr>
        <w:t xml:space="preserve">In-band TCP retransmit</w:t>
      </w:r>
      <w:r>
        <w:t xml:space="preserve">  Open a TCP socket to a retransmit server, request a sequence-number range, replay them inline. Latency: milliseconds. Used by NSE MTBT, ASX SoupBinTCP recovery, Cboe AU Gap Request Proxy.</w:t>
      </w:r>
    </w:p>
    <w:p>
      <w:pPr>
        <w:pStyle w:val="ListParagraph"/>
        <w:numPr>
          <w:ilvl w:val="0"/>
          <w:numId w:val="2"/>
        </w:numPr>
      </w:pPr>
      <w:r>
        <w:rPr>
          <w:b/>
          <w:bCs/>
        </w:rPr>
        <w:t xml:space="preserve">Snapshot recovery</w:t>
      </w:r>
      <w:r>
        <w:t xml:space="preserve">  Drop the running book, request a full point-in-time snapshot, resume on the live feed at the snapshot's sequence number. Latency: hundreds of milliseconds. Used after large gaps or feed restarts.</w:t>
      </w:r>
    </w:p>
    <w:p>
      <w:pPr>
        <w:pStyle w:val="ListParagraph"/>
        <w:numPr>
          <w:ilvl w:val="0"/>
          <w:numId w:val="2"/>
        </w:numPr>
      </w:pPr>
      <w:r>
        <w:rPr>
          <w:b/>
          <w:bCs/>
        </w:rPr>
        <w:t xml:space="preserve">Cold start</w:t>
      </w:r>
      <w:r>
        <w:t xml:space="preserve">  Replay from start of session. Latency: seconds. Used at session boundaries or after extended outages.</w:t>
      </w:r>
    </w:p>
    <w:p>
      <w:pPr>
        <w:pStyle w:val="Heading2"/>
      </w:pPr>
      <w:r>
        <w:t xml:space="preserve">The hidden cost — desynchronisation</w:t>
      </w:r>
    </w:p>
    <w:p>
      <w:pPr>
        <w:spacing w:after="120"/>
      </w:pPr>
      <w:r>
        <w:t xml:space="preserve">A subtle bug: if the recovery path uses a different encoding (e.g. FAST/FIX with delta-encoded fields), the recovered messages must be decoded against the dictionary state that existed at their sequence-number — not the current dictionary. Many production handlers maintain checkpoints of dictionary state to enable correct mid-stream recovery.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MTBT: </w:t>
            </w:r>
            <w:r>
              <w:t xml:space="preserve">explicitly markets dual active-active multicast plus TCP gap-recovery. The MTBT API Specification v6.3 (Feb 2024) describes the recovery server protocol in detail.</w:t>
            </w:r>
          </w:p>
          <w:p>
            <w:pPr>
              <w:spacing w:after="60"/>
            </w:pPr>
            <w:r>
              <w:rPr>
                <w:b/>
                <w:bCs/>
                <w:color w:val="0E7490"/>
              </w:rPr>
              <w:t xml:space="preserve">Cboe Australia: </w:t>
            </w:r>
            <w:r>
              <w:t xml:space="preserve">provides three distinct recovery services: Gap Request Proxy for sequence-range retransmit, Spin Server for snapshots, and the start-of-day broadcast. Each has its own connection target.</w:t>
            </w:r>
          </w:p>
          <w:p>
            <w:pPr>
              <w:spacing w:after="60"/>
            </w:pPr>
            <w:r>
              <w:rPr>
                <w:b/>
                <w:bCs/>
                <w:color w:val="0E7490"/>
              </w:rPr>
              <w:t xml:space="preserve">JPX FLEX: </w:t>
            </w:r>
            <w:r>
              <w:t xml:space="preserve">FLEX Standard and FLEX Full each have their own retransmit/snapshot services; subscribers must point recovery at the right one for the feed they are consuming.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"Once gap recovery completes, the subscriber is fully caught up."</w:t>
            </w:r>
          </w:p>
          <w:p>
            <w:r>
              <w:rPr>
                <w:b/>
                <w:bCs/>
                <w:color w:val="065F46"/>
              </w:rPr>
              <w:t xml:space="preserve">Right: </w:t>
            </w:r>
            <w:r>
              <w:t xml:space="preserve">Caught up to a sequence number, yes. Caught up to wall-clock — usually no. While recovery was running, fresh messages were arriving on the live feed. Most handlers buffer live messages during recovery and replay them after; getting that right is delicate. Always test the live-during-recovery edge case.</w:t>
            </w:r>
          </w:p>
        </w:tc>
      </w:tr>
    </w:tbl>
    <w:p>
      <w:pPr>
        <w:pStyle w:val="ListParagraph"/>
        <w:numPr>
          <w:ilvl w:val="0"/>
          <w:numId w:val="2"/>
        </w:numPr>
      </w:pPr>
      <w:r>
        <w:rPr>
          <w:b/>
          <w:bCs/>
        </w:rPr>
        <w:t xml:space="preserve">NSE MTBT API specification (gated to members) — </w:t>
      </w:r>
      <w:hyperlink w:history="1" r:id="rIdvh38vrswngifvslugy0ko">
        <w:r>
          <w:rPr>
            <w:rStyle w:val="Hyperlink"/>
          </w:rPr>
          <w:t xml:space="preserve">https://www.connect2nse.com/marketdata</w:t>
        </w:r>
      </w:hyperlink>
    </w:p>
    <w:p>
      <w:pPr>
        <w:pStyle w:val="ListParagraph"/>
        <w:numPr>
          <w:ilvl w:val="0"/>
          <w:numId w:val="2"/>
        </w:numPr>
      </w:pPr>
      <w:r>
        <w:rPr>
          <w:b/>
          <w:bCs/>
        </w:rPr>
        <w:t xml:space="preserve">Cboe AU Multicast PITCH spec — </w:t>
      </w:r>
      <w:hyperlink w:history="1" r:id="rId6irirulr2nexkiwriqbav">
        <w:r>
          <w:rPr>
            <w:rStyle w:val="Hyperlink"/>
          </w:rPr>
          <w:t xml:space="preserve">https://cdn.cboe.com/resources/au/equities/Cboe_Australia_Multicast_PITCH_Specification.pdf</w:t>
        </w:r>
      </w:hyperlink>
    </w:p>
    <w:p>
      <w:pPr>
        <w:pStyle w:val="Heading1"/>
        <w:pageBreakBefore/>
      </w:pPr>
      <w:r>
        <w:t xml:space="preserve">10. Tick-to-trade — definition, measurement, APAC reality</w:t>
      </w:r>
    </w:p>
    <w:p>
      <w:pPr>
        <w:spacing w:after="120"/>
      </w:pPr>
      <w:r>
        <w:t xml:space="preserve">Tick-to-trade is the time between a market data event arriving on the wire and the corresponding order leaving the firm's NIC. It is the canonical latency metric and the optimisation target for everything in this document. APAC adds geographical and operational realities that change the budget.</w:t>
      </w:r>
    </w:p>
    <w:p>
      <w:pPr>
        <w:pStyle w:val="Heading2"/>
      </w:pPr>
      <w:r>
        <w:t xml:space="preserve">How to measure it correctly</w:t>
      </w:r>
    </w:p>
    <w:p>
      <w:pPr>
        <w:spacing w:after="120"/>
      </w:pPr>
      <w:r>
        <w:t xml:space="preserve">Two timestamps, both taken in NIC hardware: T1 = ingress of the triggering market-data byte, T2 = egress of the first order byte. T2 − T1 is the tick-to-trade. Any software-stamped variant introduces jitter from kernel scheduling, syscall overhead, or NUMA misses. PTP-disciplined hardware timestamps are non-negotiable.</w:t>
      </w:r>
    </w:p>
    <w:p>
      <w:pPr>
        <w:pStyle w:val="Heading2"/>
      </w:pPr>
      <w:r>
        <w:t xml:space="preserve">Where the time goes (APAC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560"/>
      </w:tblGrid>
      <w:tr>
        <w:trPr>
          <w:tblHeader/>
        </w:trPr>
        <w:tc>
          <w:tcPr>
            <w:tcW w:type="dxa" w:w="30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Stage</w:t>
            </w:r>
          </w:p>
        </w:tc>
        <w:tc>
          <w:tcPr>
            <w:tcW w:type="dxa" w:w="18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Typical latency</w:t>
            </w:r>
          </w:p>
        </w:tc>
        <w:tc>
          <w:tcPr>
            <w:tcW w:type="dxa" w:w="45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APAC notes</w:t>
            </w:r>
          </w:p>
        </w:tc>
      </w:tr>
      <w:tr>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Cross-connect (matcher → NIC)</w:t>
            </w:r>
          </w:p>
        </w:tc>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1–10 µs</w:t>
            </w:r>
          </w:p>
        </w:tc>
        <w:tc>
          <w:tcPr>
            <w:tcW w:type="dxa" w:w="45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JPX Co-Lo: ~3 µs one-way; NSE BKC, KRX Busan, TAIFEX TPEx similar</w:t>
            </w:r>
          </w:p>
        </w:tc>
      </w:tr>
      <w:tr>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NIC ingress (kernel bypass)</w:t>
            </w:r>
          </w:p>
        </w:tc>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~250 ns</w:t>
            </w:r>
          </w:p>
        </w:tc>
        <w:tc>
          <w:tcPr>
            <w:tcW w:type="dxa" w:w="45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Solarflare/onload, Mellanox/VMA universal across APAC desks</w:t>
            </w:r>
          </w:p>
        </w:tc>
      </w:tr>
      <w:tr>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Feed-handler decode + book update</w:t>
            </w:r>
          </w:p>
        </w:tc>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300 ns – 2 µs</w:t>
            </w:r>
          </w:p>
        </w:tc>
        <w:tc>
          <w:tcPr>
            <w:tcW w:type="dxa" w:w="45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FPGA on FLEX Full / MTBT / J-GATE ITCH; CPU + AVX otherwise</w:t>
            </w:r>
          </w:p>
        </w:tc>
      </w:tr>
      <w:tr>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Strategy</w:t>
            </w:r>
          </w:p>
        </w:tc>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200 ns – 5 µs</w:t>
            </w:r>
          </w:p>
        </w:tc>
        <w:tc>
          <w:tcPr>
            <w:tcW w:type="dxa" w:w="45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Identical to US/EU</w:t>
            </w:r>
          </w:p>
        </w:tc>
      </w:tr>
      <w:tr>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Pre-trade risk</w:t>
            </w:r>
          </w:p>
        </w:tc>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100 ns – 2 µs</w:t>
            </w:r>
          </w:p>
        </w:tc>
        <w:tc>
          <w:tcPr>
            <w:tcW w:type="dxa" w:w="45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TradeGuard at OSE J-GATE adds an exchange-side risk hop</w:t>
            </w:r>
          </w:p>
        </w:tc>
      </w:tr>
      <w:tr>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NIC egress + serialisation</w:t>
            </w:r>
          </w:p>
        </w:tc>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~250 ns</w:t>
            </w:r>
          </w:p>
        </w:tc>
        <w:tc>
          <w:tcPr>
            <w:tcW w:type="dxa" w:w="45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Same hardware as US/EU</w:t>
            </w:r>
          </w:p>
        </w:tc>
      </w:tr>
      <w:tr>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Egress wire to matcher</w:t>
            </w:r>
          </w:p>
        </w:tc>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1–10 µs</w:t>
            </w:r>
          </w:p>
        </w:tc>
        <w:tc>
          <w:tcPr>
            <w:tcW w:type="dxa" w:w="45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Same cross-connect, return leg</w:t>
            </w:r>
          </w:p>
        </w:tc>
      </w:tr>
    </w:tbl>
    <w:p>
      <w:pPr>
        <w:pStyle w:val="Heading2"/>
      </w:pPr>
      <w:r>
        <w:t xml:space="preserve">APAC-specific latency considerations</w:t>
      </w:r>
    </w:p>
    <w:p>
      <w:pPr>
        <w:pStyle w:val="ListParagraph"/>
        <w:numPr>
          <w:ilvl w:val="0"/>
          <w:numId w:val="2"/>
        </w:numPr>
      </w:pPr>
      <w:r>
        <w:rPr>
          <w:b/>
          <w:bCs/>
        </w:rPr>
        <w:t xml:space="preserve">Inter-venue distance</w:t>
      </w:r>
      <w:r>
        <w:t xml:space="preserve">  Tokyo to Hong Kong is ~43 ms RTT, Singapore to Tokyo ~65 ms (JPX arrownet-Global figures). Strategies that span APAC venues live at this scale, not microseconds.</w:t>
      </w:r>
    </w:p>
    <w:p>
      <w:pPr>
        <w:pStyle w:val="ListParagraph"/>
        <w:numPr>
          <w:ilvl w:val="0"/>
          <w:numId w:val="2"/>
        </w:numPr>
      </w:pPr>
      <w:r>
        <w:rPr>
          <w:b/>
          <w:bCs/>
        </w:rPr>
        <w:t xml:space="preserve">Mandatory exchange-side risk</w:t>
      </w:r>
      <w:r>
        <w:t xml:space="preserve">  OSE J-GATE's TradeGuard runs inside the matcher. You cannot bypass it. The latency is real and uniform across participants — it shows up in every member's tick-to-trade.</w:t>
      </w:r>
    </w:p>
    <w:p>
      <w:pPr>
        <w:pStyle w:val="ListParagraph"/>
        <w:numPr>
          <w:ilvl w:val="0"/>
          <w:numId w:val="2"/>
        </w:numPr>
      </w:pPr>
      <w:r>
        <w:rPr>
          <w:b/>
          <w:bCs/>
        </w:rPr>
        <w:t xml:space="preserve">FIX-only paths add tens of µs</w:t>
      </w:r>
      <w:r>
        <w:t xml:space="preserve">  ASX 24's FIX-only OE path versus ASX Trade's OUCH binary path is a clear before/after comparison: OUCH at ~⅓ the round-trip latency of OMnet. KRX FIX gateway adds tens of microseconds over the native binary.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JPX Co-Lo: </w:t>
            </w:r>
            <w:r>
              <w:t xml:space="preserve">publishes ~3 µs one-way to the matcher for Primary Co-Lo, ~60 µs for Access Point. Knowing which tier you're on tells you the wire-level lower bound.</w:t>
            </w:r>
          </w:p>
          <w:p>
            <w:pPr>
              <w:spacing w:after="60"/>
            </w:pPr>
            <w:r>
              <w:rPr>
                <w:b/>
                <w:bCs/>
                <w:color w:val="0E7490"/>
              </w:rPr>
              <w:t xml:space="preserve">ASX Trade OUCH vs OMnet: </w:t>
            </w:r>
            <w:r>
              <w:t xml:space="preserve">ASX explicitly markets OUCH at ⅓ the RTT of OMnet. The migration guide quantifies the saving for participants choosing to move.</w:t>
            </w:r>
          </w:p>
          <w:p>
            <w:pPr>
              <w:spacing w:after="60"/>
            </w:pPr>
            <w:r>
              <w:rPr>
                <w:b/>
                <w:bCs/>
                <w:color w:val="0E7490"/>
              </w:rPr>
              <w:t xml:space="preserve">TAIFEX: </w:t>
            </w:r>
            <w:r>
              <w:t xml:space="preserve">TMP messages are short and big-endian fixed-offset, designed for low parser cost. A reasonable software stack on TAIFEX co-lo lands comfortably in single-digit microseconds tick-to-trade for simple options strategies.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"Lower tick-to-trade is always better."</w:t>
            </w:r>
          </w:p>
          <w:p>
            <w:r>
              <w:rPr>
                <w:b/>
                <w:bCs/>
                <w:color w:val="065F46"/>
              </w:rPr>
              <w:t xml:space="preserve">Right: </w:t>
            </w:r>
            <w:r>
              <w:t xml:space="preserve">Only if it is on the critical path of a winning trade. Microseconds spent on post-trade reconciliation, position keeping, or complex strategy state are usually invisible. Optimise the longest pole first; never spend FPGA time on something the strategy doesn't depend on.</w:t>
            </w:r>
          </w:p>
        </w:tc>
      </w:tr>
    </w:tbl>
    <w:p>
      <w:pPr>
        <w:pStyle w:val="ListParagraph"/>
        <w:numPr>
          <w:ilvl w:val="0"/>
          <w:numId w:val="2"/>
        </w:numPr>
      </w:pPr>
      <w:r>
        <w:rPr>
          <w:b/>
          <w:bCs/>
        </w:rPr>
        <w:t xml:space="preserve">JPX co-location and arrownet — </w:t>
      </w:r>
      <w:hyperlink w:history="1" r:id="rIdi3blrsrlxsh1ptjceoduv">
        <w:r>
          <w:rPr>
            <w:rStyle w:val="Hyperlink"/>
          </w:rPr>
          <w:t xml:space="preserve">https://www.jpx.co.jp/english/systems/connectivity/</w:t>
        </w:r>
      </w:hyperlink>
    </w:p>
    <w:p>
      <w:pPr>
        <w:pStyle w:val="ListParagraph"/>
        <w:numPr>
          <w:ilvl w:val="0"/>
          <w:numId w:val="2"/>
        </w:numPr>
      </w:pPr>
      <w:r>
        <w:rPr>
          <w:b/>
          <w:bCs/>
        </w:rPr>
        <w:t xml:space="preserve">STAC Research benchmarks — </w:t>
      </w:r>
      <w:hyperlink w:history="1" r:id="rId8khxxermcip-ku-e2xkcy">
        <w:r>
          <w:rPr>
            <w:rStyle w:val="Hyperlink"/>
          </w:rPr>
          <w:t xml:space="preserve">https://www.stacresearch.com/</w:t>
        </w:r>
      </w:hyperlink>
    </w:p>
    <w:p>
      <w:pPr>
        <w:pStyle w:val="Heading1"/>
        <w:pageBreakBefore/>
      </w:pPr>
      <w:r>
        <w:t xml:space="preserve">Theme C — Time and security</w:t>
      </w:r>
    </w:p>
    <w:p>
      <w:pPr>
        <w:spacing w:after="120"/>
      </w:pPr>
      <w:r>
        <w:t xml:space="preserve">Theme B handled how to encode and recover bytes. Theme C handles two cross-cutting concerns: knowing when each byte arrived (PTP), and knowing who sent it and that nobody else read it (PKI and authentication). APAC regulators have stricter and more varied rules here than in the US.</w:t>
      </w:r>
    </w:p>
    <w:p>
      <w:pPr>
        <w:pStyle w:val="Heading1"/>
        <w:pageBreakBefore/>
      </w:pPr>
      <w:r>
        <w:t xml:space="preserve">11. PTP vs NTP — and what APAC regulators require</w:t>
      </w:r>
    </w:p>
    <w:p>
      <w:pPr>
        <w:spacing w:after="120"/>
      </w:pPr>
      <w:r>
        <w:t xml:space="preserve">If two events occur a microsecond apart you cannot order them on a clock that is itself only accurate to a millisecond. Trading systems use IEEE 1588v2 Precision Time Protocol to keep host clocks disciplined to within a few hundred nanoseconds of UTC. NTP is the older alternative, accurate to about a millisecond on a clean LAN. The difference is six orders of magnitude in event-ordering capability.</w:t>
      </w:r>
    </w:p>
    <w:p>
      <w:pPr>
        <w:pStyle w:val="Heading2"/>
      </w:pPr>
      <w:r>
        <w:t xml:space="preserve">How PTP keeps time</w:t>
      </w:r>
    </w:p>
    <w:p>
      <w:pPr>
        <w:spacing w:after="120"/>
      </w:pPr>
      <w:r>
        <w:t xml:space="preserve">A grandmaster clock — a 1U appliance fed by GNSS (GPS, Galileo, BeiDou) and a rubidium or oven-controlled crystal oscillator for holdover — multicasts SYNC messages. Slaves measure round-trip and use the offset to discipline. Hardware timestamping at the NIC removes software-stack jitter. Boundary clocks and transparent clocks at intermediate switches correct for switch traversal time.</w:t>
      </w:r>
    </w:p>
    <w:p>
      <w:pPr>
        <w:pStyle w:val="Heading2"/>
      </w:pPr>
      <w:r>
        <w:t xml:space="preserve">APAC regulatory baseline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1700"/>
        <w:gridCol w:w="5960"/>
      </w:tblGrid>
      <w:tr>
        <w:trPr>
          <w:tblHeader/>
        </w:trPr>
        <w:tc>
          <w:tcPr>
            <w:tcW w:type="dxa" w:w="17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Jurisdiction</w:t>
            </w:r>
          </w:p>
        </w:tc>
        <w:tc>
          <w:tcPr>
            <w:tcW w:type="dxa" w:w="17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Regulator</w:t>
            </w:r>
          </w:p>
        </w:tc>
        <w:tc>
          <w:tcPr>
            <w:tcW w:type="dxa" w:w="59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Clock-sync expectation</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Australia</w:t>
            </w:r>
          </w:p>
        </w:tc>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ASIC</w:t>
            </w:r>
          </w:p>
        </w:tc>
        <w:tc>
          <w:tcPr>
            <w:tcW w:type="dxa" w:w="5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Market Integrity Rules require timestamps to UTC; venues operate to PTP</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India</w:t>
            </w:r>
          </w:p>
        </w:tc>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SEBI</w:t>
            </w:r>
          </w:p>
        </w:tc>
        <w:tc>
          <w:tcPr>
            <w:tcW w:type="dxa" w:w="5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Co-located members run NTP/PTP to NSE/BSE master; SEBI focus on co-lo equal-access</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Japan</w:t>
            </w:r>
          </w:p>
        </w:tc>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JFSA</w:t>
            </w:r>
          </w:p>
        </w:tc>
        <w:tc>
          <w:tcPr>
            <w:tcW w:type="dxa" w:w="5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JPX participants synchronise to JPX-provided reference; PTP standard</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Korea</w:t>
            </w:r>
          </w:p>
        </w:tc>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FSC / FSS</w:t>
            </w:r>
          </w:p>
        </w:tc>
        <w:tc>
          <w:tcPr>
            <w:tcW w:type="dxa" w:w="5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KRX participants use KRX time reference; PTP at members, NTP for ancillary</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Taiwan</w:t>
            </w:r>
          </w:p>
        </w:tc>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FSC-Taiwan / TAIFEX</w:t>
            </w:r>
          </w:p>
        </w:tc>
        <w:tc>
          <w:tcPr>
            <w:tcW w:type="dxa" w:w="5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TAIFEX provides time reference to FCMs; PTP for low-latency, NTP for office</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EU (comparator)</w:t>
            </w:r>
          </w:p>
        </w:tc>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ESMA / MiFID II RTS 25</w:t>
            </w:r>
          </w:p>
        </w:tc>
        <w:tc>
          <w:tcPr>
            <w:tcW w:type="dxa" w:w="5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100 µs to UTC for HFT; 1 ms for non-HFT — more prescriptive than APAC</w:t>
            </w:r>
          </w:p>
        </w:tc>
      </w:tr>
    </w:tbl>
    <w:p>
      <w:pPr>
        <w:pStyle w:val="Heading2"/>
      </w:pPr>
      <w:r>
        <w:t xml:space="preserve">Practical PTP topology</w:t>
      </w:r>
    </w:p>
    <w:p>
      <w:pPr>
        <w:spacing w:after="120"/>
      </w:pPr>
      <w:r>
        <w:t xml:space="preserve">Inside a CoLo cage, a grandmaster (Microchip / Spectracom / Meinberg) feeds the top-of-rack switch via PTP-aware ports. Hosts run a PTP daemon disciplining the kernel clock and the NIC's hardware clock simultaneously. Hardware-timestamped capture lets you measure latency wire-to-wire. Holdover (the rubidium oscillator) protects against GNSS jamming or spoofing — incidents have happened, including at financial venues.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JPX: </w:t>
            </w:r>
            <w:r>
              <w:t xml:space="preserve">operates time-distribution into Primary Co-Lo. Member systems sync to JPX's reference; the published ~3 µs Co-Lo latency is meaningful only with PTP-class timing.</w:t>
            </w:r>
          </w:p>
          <w:p>
            <w:pPr>
              <w:spacing w:after="60"/>
            </w:pPr>
            <w:r>
              <w:rPr>
                <w:b/>
                <w:bCs/>
                <w:color w:val="0E7490"/>
              </w:rPr>
              <w:t xml:space="preserve">NSE Co-Lo: </w:t>
            </w:r>
            <w:r>
              <w:t xml:space="preserve">publishes time-source service; SEBI's equal-access rules implicitly require all co-located members to see the same reference.</w:t>
            </w:r>
          </w:p>
          <w:p>
            <w:pPr>
              <w:spacing w:after="60"/>
            </w:pPr>
            <w:r>
              <w:rPr>
                <w:b/>
                <w:bCs/>
                <w:color w:val="0E7490"/>
              </w:rPr>
              <w:t xml:space="preserve">KRX Busan: </w:t>
            </w:r>
            <w:r>
              <w:t xml:space="preserve">primary data centre with co-location; KRX provides time reference, members run PTP to it for derivatives.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"NTP is good enough; we sync to within a millisecond."</w:t>
            </w:r>
          </w:p>
          <w:p>
            <w:r>
              <w:rPr>
                <w:b/>
                <w:bCs/>
                <w:color w:val="065F46"/>
              </w:rPr>
              <w:t xml:space="preserve">Right: </w:t>
            </w:r>
            <w:r>
              <w:t xml:space="preserve">Best-case NTP over a LAN is ~1 ms with high software-stack jitter. For event ordering at HFT scales this is meaningless, and APAC regulators trending toward MiFID-equivalent precision will not accept it. PTP with hardware-stamped NICs is the only correct answer.</w:t>
            </w:r>
          </w:p>
        </w:tc>
      </w:tr>
    </w:tbl>
    <w:p>
      <w:pPr>
        <w:pStyle w:val="ListParagraph"/>
        <w:numPr>
          <w:ilvl w:val="0"/>
          <w:numId w:val="2"/>
        </w:numPr>
      </w:pPr>
      <w:r>
        <w:rPr>
          <w:b/>
          <w:bCs/>
        </w:rPr>
        <w:t xml:space="preserve">IEEE 1588 standard overview — </w:t>
      </w:r>
      <w:hyperlink w:history="1" r:id="rIdr_m_6vqn8u_ojrkhejjnd">
        <w:r>
          <w:rPr>
            <w:rStyle w:val="Hyperlink"/>
          </w:rPr>
          <w:t xml:space="preserve">https://standards.ieee.org/ieee/1588/4355</w:t>
        </w:r>
      </w:hyperlink>
    </w:p>
    <w:p>
      <w:pPr>
        <w:pStyle w:val="ListParagraph"/>
        <w:numPr>
          <w:ilvl w:val="0"/>
          <w:numId w:val="2"/>
        </w:numPr>
      </w:pPr>
      <w:r>
        <w:rPr>
          <w:b/>
          <w:bCs/>
        </w:rPr>
        <w:t xml:space="preserve">Microchip TimeProvider grandmasters — </w:t>
      </w:r>
      <w:hyperlink w:history="1" r:id="rId-a9mkh6j2xo-o3-nbjdbq">
        <w:r>
          <w:rPr>
            <w:rStyle w:val="Hyperlink"/>
          </w:rPr>
          <w:t xml:space="preserve">https://www.microchip.com/en-us/products/clock-and-timing/timing-and-synchronization-systems/grandmaster-clocks</w:t>
        </w:r>
      </w:hyperlink>
    </w:p>
    <w:p>
      <w:pPr>
        <w:pStyle w:val="Heading1"/>
        <w:pageBreakBefore/>
      </w:pPr>
      <w:r>
        <w:t xml:space="preserve">12. PKI — X.509, mTLS, cipher suites</w:t>
      </w:r>
    </w:p>
    <w:p>
      <w:pPr>
        <w:spacing w:after="120"/>
      </w:pPr>
      <w:r>
        <w:t xml:space="preserve">Public-Key Infrastructure is what makes the "who sent this" question answerable cryptographically. APAC venues use it sparingly on the lowest-latency paths but heavily on file distribution, drop-copy, and any session that crosses a public boundary.</w:t>
      </w:r>
    </w:p>
    <w:p>
      <w:pPr>
        <w:pStyle w:val="Heading2"/>
      </w:pPr>
      <w:r>
        <w:t xml:space="preserve">X.509 certificates</w:t>
      </w:r>
    </w:p>
    <w:p>
      <w:pPr>
        <w:spacing w:after="120"/>
      </w:pPr>
      <w:r>
        <w:t xml:space="preserve">An X.509 certificate binds a public key to an identity (subject DN) and is signed by a Certificate Authority. Verifying a cert means checking the CA chain back to a trusted root, the validity dates, the key usage, and any name constraints. Production trading certs are usually issued by a private exchange-operated CA, not a public one — DigiCert and the global commercial CAs are too broad a trust anchor for this use case.</w:t>
      </w:r>
    </w:p>
    <w:p>
      <w:pPr>
        <w:pStyle w:val="Heading2"/>
      </w:pPr>
      <w:r>
        <w:t xml:space="preserve">TLS — what it gives you</w:t>
      </w:r>
    </w:p>
    <w:p>
      <w:pPr>
        <w:spacing w:after="120"/>
      </w:pPr>
      <w:r>
        <w:t xml:space="preserve">TLS provides three things on top of TCP: confidentiality (the bytes are encrypted), integrity (tampering is detected), and authentication (you know who you're talking to, via certificates). It does NOT give you reliability, ordering, or low latency — those come from TCP underneath. TLS 1.2 is the minimum any APAC venue accepts today; TLS 1.3 is increasingly the default.</w:t>
      </w:r>
    </w:p>
    <w:p>
      <w:pPr>
        <w:pStyle w:val="Heading2"/>
      </w:pPr>
      <w:r>
        <w:t xml:space="preserve">Mutual TLS (mTLS)</w:t>
      </w:r>
    </w:p>
    <w:p>
      <w:pPr>
        <w:spacing w:after="120"/>
      </w:pPr>
      <w:r>
        <w:t xml:space="preserve">Standard TLS authenticates the server only — the client verifies the server's cert, the server has no equivalent check on the client. mTLS adds the symmetric requirement: both sides present certs, both verify. This is the strongest authentication primitive in routine use. ASX Signal B mandates TLS 1.2 with mutual authentication for the consolidated tape interface.</w:t>
      </w:r>
    </w:p>
    <w:p>
      <w:pPr>
        <w:pStyle w:val="Heading2"/>
      </w:pPr>
      <w:r>
        <w:t xml:space="preserve">Cipher suites — the parts that actually matter</w:t>
      </w:r>
    </w:p>
    <w:p>
      <w:pPr>
        <w:pStyle w:val="ListParagraph"/>
        <w:numPr>
          <w:ilvl w:val="0"/>
          <w:numId w:val="2"/>
        </w:numPr>
      </w:pPr>
      <w:r>
        <w:rPr>
          <w:b/>
          <w:bCs/>
        </w:rPr>
        <w:t xml:space="preserve">Key exchange</w:t>
      </w:r>
      <w:r>
        <w:t xml:space="preserve">  ECDHE (Elliptic-Curve Diffie-Hellman Ephemeral) is the modern default — provides forward secrecy, so a future compromise of the long-term key does not let the attacker decrypt past sessions.</w:t>
      </w:r>
    </w:p>
    <w:p>
      <w:pPr>
        <w:pStyle w:val="ListParagraph"/>
        <w:numPr>
          <w:ilvl w:val="0"/>
          <w:numId w:val="2"/>
        </w:numPr>
      </w:pPr>
      <w:r>
        <w:rPr>
          <w:b/>
          <w:bCs/>
        </w:rPr>
        <w:t xml:space="preserve">Authentication</w:t>
      </w:r>
      <w:r>
        <w:t xml:space="preserve">  RSA or ECDSA cert. ECDSA is faster and produces smaller certs.</w:t>
      </w:r>
    </w:p>
    <w:p>
      <w:pPr>
        <w:pStyle w:val="ListParagraph"/>
        <w:numPr>
          <w:ilvl w:val="0"/>
          <w:numId w:val="2"/>
        </w:numPr>
      </w:pPr>
      <w:r>
        <w:rPr>
          <w:b/>
          <w:bCs/>
        </w:rPr>
        <w:t xml:space="preserve">Symmetric cipher</w:t>
      </w:r>
      <w:r>
        <w:t xml:space="preserve">  AES-GCM (authenticated encryption) is the default; AES-CBC is acceptable but not preferred.</w:t>
      </w:r>
    </w:p>
    <w:p>
      <w:pPr>
        <w:pStyle w:val="ListParagraph"/>
        <w:numPr>
          <w:ilvl w:val="0"/>
          <w:numId w:val="2"/>
        </w:numPr>
      </w:pPr>
      <w:r>
        <w:rPr>
          <w:b/>
          <w:bCs/>
        </w:rPr>
        <w:t xml:space="preserve">MAC / AEAD</w:t>
      </w:r>
      <w:r>
        <w:t xml:space="preserve">  GCM combines the cipher and the MAC; modern best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ASX Signal B: </w:t>
            </w:r>
            <w:r>
              <w:t xml:space="preserve">mandates TLS 1.2 with 90-day password rotation alongside cert auth. Concrete production example of mTLS-style requirements in APAC.</w:t>
            </w:r>
          </w:p>
          <w:p>
            <w:pPr>
              <w:spacing w:after="60"/>
            </w:pPr>
            <w:r>
              <w:rPr>
                <w:b/>
                <w:bCs/>
                <w:color w:val="0E7490"/>
              </w:rPr>
              <w:t xml:space="preserve">JPX drop-copy distribution: </w:t>
            </w:r>
            <w:r>
              <w:t xml:space="preserve">uses AES-256 zip files for J-GATE Drop Copy spec distribution — symmetric encryption applied at the file level, with key management out of band.</w:t>
            </w:r>
          </w:p>
          <w:p>
            <w:pPr>
              <w:spacing w:after="60"/>
            </w:pPr>
            <w:r>
              <w:rPr>
                <w:b/>
                <w:bCs/>
                <w:color w:val="0E7490"/>
              </w:rPr>
              <w:t xml:space="preserve">TAIFEX: </w:t>
            </w:r>
            <w:r>
              <w:t xml:space="preserve">TLS used on member-portal access for spec distribution and conformance test scheduling, less so on the trading path itself.</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"TLS makes the connection low-latency and reliable."</w:t>
            </w:r>
          </w:p>
          <w:p>
            <w:r>
              <w:rPr>
                <w:b/>
                <w:bCs/>
                <w:color w:val="065F46"/>
              </w:rPr>
              <w:t xml:space="preserve">Right: </w:t>
            </w:r>
            <w:r>
              <w:t xml:space="preserve">TLS adds latency (handshake, per-record encryption). It does not make TCP faster — on the contrary, it adds CPU work. Use it where confidentiality or authentication justify the cost; do not use it on the latency-critical inner loop.</w:t>
            </w:r>
          </w:p>
        </w:tc>
      </w:tr>
    </w:tbl>
    <w:p>
      <w:pPr>
        <w:pStyle w:val="ListParagraph"/>
        <w:numPr>
          <w:ilvl w:val="0"/>
          <w:numId w:val="2"/>
        </w:numPr>
      </w:pPr>
      <w:r>
        <w:rPr>
          <w:b/>
          <w:bCs/>
        </w:rPr>
        <w:t xml:space="preserve">RFC 8446 — TLS 1.3 — </w:t>
      </w:r>
      <w:hyperlink w:history="1" r:id="rId0ibyp5ivinkjvtrud3nck">
        <w:r>
          <w:rPr>
            <w:rStyle w:val="Hyperlink"/>
          </w:rPr>
          <w:t xml:space="preserve">https://datatracker.ietf.org/doc/html/rfc8446</w:t>
        </w:r>
      </w:hyperlink>
    </w:p>
    <w:p>
      <w:pPr>
        <w:pStyle w:val="ListParagraph"/>
        <w:numPr>
          <w:ilvl w:val="0"/>
          <w:numId w:val="2"/>
        </w:numPr>
      </w:pPr>
      <w:r>
        <w:rPr>
          <w:b/>
          <w:bCs/>
        </w:rPr>
        <w:t xml:space="preserve">NIST SP 800-52 Rev. 2 — TLS guidance — </w:t>
      </w:r>
      <w:hyperlink w:history="1" r:id="rIdm-pw92j4qqnlhexjkrjhu">
        <w:r>
          <w:rPr>
            <w:rStyle w:val="Hyperlink"/>
          </w:rPr>
          <w:t xml:space="preserve">https://csrc.nist.gov/publications/detail/sp/800-52/rev-2/final</w:t>
        </w:r>
      </w:hyperlink>
    </w:p>
    <w:p>
      <w:pPr>
        <w:pStyle w:val="Heading1"/>
        <w:pageBreakBefore/>
      </w:pPr>
      <w:r>
        <w:t xml:space="preserve">13. Symmetric encryption — AES, MACsec, and file-level patterns</w:t>
      </w:r>
    </w:p>
    <w:p>
      <w:pPr>
        <w:spacing w:after="120"/>
      </w:pPr>
      <w:r>
        <w:t xml:space="preserve">PKI handles authenticating the parties; symmetric encryption handles bulk data confidentiality once the parties agree on a shared key. APAC venues use symmetric encryption in three distinct places: the cross-connect (MACsec), the file (AES-zip), and inside TLS sessions (AES-GCM, covered in chapter 12).</w:t>
      </w:r>
    </w:p>
    <w:p>
      <w:pPr>
        <w:pStyle w:val="Heading2"/>
      </w:pPr>
      <w:r>
        <w:t xml:space="preserve">AES — the workhorse</w:t>
      </w:r>
    </w:p>
    <w:p>
      <w:pPr>
        <w:spacing w:after="120"/>
      </w:pPr>
      <w:r>
        <w:t xml:space="preserve">AES (Advanced Encryption Standard) is a symmetric block cipher with 128-, 192-, or 256-bit keys. AES-256 is overkill for most threat models but is the default in regulated finance because key sizes give comfort to compliance reviewers. AES-GCM (Galois/Counter Mode) combines encryption with authentication in a single primitive — preferred over older AES-CBC + HMAC compositions.</w:t>
      </w:r>
    </w:p>
    <w:p>
      <w:pPr>
        <w:pStyle w:val="Heading2"/>
      </w:pPr>
      <w:r>
        <w:t xml:space="preserve">MACsec — encrypting the wire, not the application</w:t>
      </w:r>
    </w:p>
    <w:p>
      <w:pPr>
        <w:spacing w:after="120"/>
      </w:pPr>
      <w:r>
        <w:t xml:space="preserve">IEEE 802.1AE MACsec encrypts Ethernet frames between two link partners. It runs at L2, transparent to higher layers — TCP, UDP, IP, your application code do not change. Hardware offload means MACsec is essentially free in latency terms (sub-microsecond on modern NICs and switches). Useful on cross-connects where the physical fibre runs through a shared facility or where a public WAN segment is in the path.</w:t>
      </w:r>
    </w:p>
    <w:p>
      <w:pPr>
        <w:pStyle w:val="Heading2"/>
      </w:pPr>
      <w:r>
        <w:t xml:space="preserve">File-level AES — the JPX pattern</w:t>
      </w:r>
    </w:p>
    <w:p>
      <w:pPr>
        <w:spacing w:after="120"/>
      </w:pPr>
      <w:r>
        <w:t xml:space="preserve">JPX distributes the J-GATE Drop Copy specification as an AES-256 encrypted zip file. The key is communicated out-of-band (member services, signed paper exchange, or a separate authenticated portal). The threat model: protect the spec from casual distribution; do not protect against the legitimate recipient. This pattern shows up in many APAC venues for spec distribution where the venue wants to track who has access.</w:t>
      </w:r>
    </w:p>
    <w:p>
      <w:pPr>
        <w:pStyle w:val="Heading2"/>
      </w:pPr>
      <w:r>
        <w:t xml:space="preserve">Where symmetric encryption shows up in APAC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960"/>
        <w:gridCol w:w="4000"/>
      </w:tblGrid>
      <w:tr>
        <w:trPr>
          <w:tblHeader/>
        </w:trPr>
        <w:tc>
          <w:tcPr>
            <w:tcW w:type="dxa" w:w="24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Use case</w:t>
            </w:r>
          </w:p>
        </w:tc>
        <w:tc>
          <w:tcPr>
            <w:tcW w:type="dxa" w:w="29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Mechanism</w:t>
            </w:r>
          </w:p>
        </w:tc>
        <w:tc>
          <w:tcPr>
            <w:tcW w:type="dxa" w:w="40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Example</w:t>
            </w:r>
          </w:p>
        </w:tc>
      </w:tr>
      <w:tr>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Cross-connect privacy</w:t>
            </w:r>
          </w:p>
        </w:tc>
        <w:tc>
          <w:tcPr>
            <w:tcW w:type="dxa" w:w="2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MACsec on the radio's Ethernet egress or cross-connect fibre</w:t>
            </w:r>
          </w:p>
        </w:tc>
        <w:tc>
          <w:tcPr>
            <w:tcW w:type="dxa" w:w="4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Cross-border WAN segments; not standard inside one CoLo</w:t>
            </w:r>
          </w:p>
        </w:tc>
      </w:tr>
      <w:tr>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TLS bulk encryption</w:t>
            </w:r>
          </w:p>
        </w:tc>
        <w:tc>
          <w:tcPr>
            <w:tcW w:type="dxa" w:w="2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AES-GCM as the cipher inside TLS records</w:t>
            </w:r>
          </w:p>
        </w:tc>
        <w:tc>
          <w:tcPr>
            <w:tcW w:type="dxa" w:w="4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ASX Signal B (TLS 1.2), member-portal access at every venue</w:t>
            </w:r>
          </w:p>
        </w:tc>
      </w:tr>
      <w:tr>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File-level distribution</w:t>
            </w:r>
          </w:p>
        </w:tc>
        <w:tc>
          <w:tcPr>
            <w:tcW w:type="dxa" w:w="2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AES-256 zip with out-of-band key</w:t>
            </w:r>
          </w:p>
        </w:tc>
        <w:tc>
          <w:tcPr>
            <w:tcW w:type="dxa" w:w="4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JPX J-GATE Drop Copy spec, sensitive conformance test materials</w:t>
            </w:r>
          </w:p>
        </w:tc>
      </w:tr>
      <w:tr>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EOD bundle protection</w:t>
            </w:r>
          </w:p>
        </w:tc>
        <w:tc>
          <w:tcPr>
            <w:tcW w:type="dxa" w:w="2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AES-encrypted archives signed with HMAC</w:t>
            </w:r>
          </w:p>
        </w:tc>
        <w:tc>
          <w:tcPr>
            <w:tcW w:type="dxa" w:w="4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TAIFEX EOD reference data via File Transfer spec, BSE EOD files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JPX: </w:t>
            </w:r>
            <w:r>
              <w:t xml:space="preserve">AES-256 zip is the standard mechanism for distributing gated specs to members. The decryption key comes through a separate channel (often the membership liaison).</w:t>
            </w:r>
          </w:p>
          <w:p>
            <w:pPr>
              <w:spacing w:after="60"/>
            </w:pPr>
            <w:r>
              <w:rPr>
                <w:b/>
                <w:bCs/>
                <w:color w:val="0E7490"/>
              </w:rPr>
              <w:t xml:space="preserve">ASX Signal B: </w:t>
            </w:r>
            <w:r>
              <w:t xml:space="preserve">TLS 1.2 with password rotation every 90 days. The TLS handshake establishes ephemeral AES session keys; the password rotation is for the application-layer login.</w:t>
            </w:r>
          </w:p>
          <w:p>
            <w:pPr>
              <w:spacing w:after="60"/>
            </w:pPr>
            <w:r>
              <w:rPr>
                <w:b/>
                <w:bCs/>
                <w:color w:val="0E7490"/>
              </w:rPr>
              <w:t xml:space="preserve">BSE BOLT+: </w:t>
            </w:r>
            <w:r>
              <w:t xml:space="preserve">the connectivity manual lists the file-distribution chain for IML/ETI specs and EOD reports, with file integrity guaranteed by AES + signature.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"AES-256 is automatically more secure than AES-128."</w:t>
            </w:r>
          </w:p>
          <w:p>
            <w:r>
              <w:rPr>
                <w:b/>
                <w:bCs/>
                <w:color w:val="065F46"/>
              </w:rPr>
              <w:t xml:space="preserve">Right: </w:t>
            </w:r>
            <w:r>
              <w:t xml:space="preserve">Both are uncrackable by brute force on modern hardware. AES-256 buys you margin against future attacks (e.g. quantum) and satisfies compliance checklists, but it does not improve the practical security of a well-implemented AES-128 deployment. Implementation correctness — IV uniqueness, key management, mode choice — matters more than key length.</w:t>
            </w:r>
          </w:p>
        </w:tc>
      </w:tr>
    </w:tbl>
    <w:p>
      <w:pPr>
        <w:pStyle w:val="ListParagraph"/>
        <w:numPr>
          <w:ilvl w:val="0"/>
          <w:numId w:val="2"/>
        </w:numPr>
      </w:pPr>
      <w:r>
        <w:rPr>
          <w:b/>
          <w:bCs/>
        </w:rPr>
        <w:t xml:space="preserve">IEEE 802.1AE MACsec — </w:t>
      </w:r>
      <w:hyperlink w:history="1" r:id="rIdysw1ph-wxo6fqjt2m3d1z">
        <w:r>
          <w:rPr>
            <w:rStyle w:val="Hyperlink"/>
          </w:rPr>
          <w:t xml:space="preserve">https://standards.ieee.org/ieee/802.1ae/4254/</w:t>
        </w:r>
      </w:hyperlink>
    </w:p>
    <w:p>
      <w:pPr>
        <w:pStyle w:val="ListParagraph"/>
        <w:numPr>
          <w:ilvl w:val="0"/>
          <w:numId w:val="2"/>
        </w:numPr>
      </w:pPr>
      <w:r>
        <w:rPr>
          <w:b/>
          <w:bCs/>
        </w:rPr>
        <w:t xml:space="preserve">FIPS 197 — AES specification — </w:t>
      </w:r>
      <w:hyperlink w:history="1" r:id="rIddplj_i-txgsdwg-32ytpv">
        <w:r>
          <w:rPr>
            <w:rStyle w:val="Hyperlink"/>
          </w:rPr>
          <w:t xml:space="preserve">https://csrc.nist.gov/publications/detail/fips/197/final</w:t>
        </w:r>
      </w:hyperlink>
    </w:p>
    <w:p>
      <w:pPr>
        <w:pStyle w:val="Heading1"/>
        <w:pageBreakBefore/>
      </w:pPr>
      <w:r>
        <w:t xml:space="preserve">14. Authentication patterns across APAC</w:t>
      </w:r>
    </w:p>
    <w:p>
      <w:pPr>
        <w:spacing w:after="120"/>
      </w:pPr>
      <w:r>
        <w:t xml:space="preserve">Authentication answers "who are you?" Each APAC venue has a different combination of mechanisms. Understanding which combination applies to which session type is essential when onboarding a new connectivity stack.</w:t>
      </w:r>
    </w:p>
    <w:p>
      <w:pPr>
        <w:pStyle w:val="Heading2"/>
      </w:pPr>
      <w:r>
        <w:t xml:space="preserve">The four mechanisms in routine use</w:t>
      </w:r>
    </w:p>
    <w:p>
      <w:pPr>
        <w:pStyle w:val="ListParagraph"/>
        <w:numPr>
          <w:ilvl w:val="0"/>
          <w:numId w:val="2"/>
        </w:numPr>
      </w:pPr>
      <w:r>
        <w:rPr>
          <w:b/>
          <w:bCs/>
        </w:rPr>
        <w:t xml:space="preserve">Shared-secret login</w:t>
      </w:r>
      <w:r>
        <w:t xml:space="preserve">  A username/password (or sometimes an API key) sent at session start. Used by FIX (Logon 35=A) and SoupBinTCP (Login Request 'L'). Lowest-overhead, weakest standalone.</w:t>
      </w:r>
    </w:p>
    <w:p>
      <w:pPr>
        <w:pStyle w:val="ListParagraph"/>
        <w:numPr>
          <w:ilvl w:val="0"/>
          <w:numId w:val="2"/>
        </w:numPr>
      </w:pPr>
      <w:r>
        <w:rPr>
          <w:b/>
          <w:bCs/>
        </w:rPr>
        <w:t xml:space="preserve">Session-key on top of TCP</w:t>
      </w:r>
      <w:r>
        <w:t xml:space="preserve">  A login establishes a session token; subsequent messages reference it implicitly. SoupBinTCP's session id and sequence number serve this role on ASX.</w:t>
      </w:r>
    </w:p>
    <w:p>
      <w:pPr>
        <w:pStyle w:val="ListParagraph"/>
        <w:numPr>
          <w:ilvl w:val="0"/>
          <w:numId w:val="2"/>
        </w:numPr>
      </w:pPr>
      <w:r>
        <w:rPr>
          <w:b/>
          <w:bCs/>
        </w:rPr>
        <w:t xml:space="preserve">Client cert (mTLS)</w:t>
      </w:r>
      <w:r>
        <w:t xml:space="preserve">  Both sides present X.509 certs; both verify. ASX Signal B is the explicit APAC example.</w:t>
      </w:r>
    </w:p>
    <w:p>
      <w:pPr>
        <w:pStyle w:val="ListParagraph"/>
        <w:numPr>
          <w:ilvl w:val="0"/>
          <w:numId w:val="2"/>
        </w:numPr>
      </w:pPr>
      <w:r>
        <w:rPr>
          <w:b/>
          <w:bCs/>
        </w:rPr>
        <w:t xml:space="preserve">IP whitelist + bilateral allow-list</w:t>
      </w:r>
      <w:r>
        <w:t xml:space="preserve">  The exchange only accepts inbound connections from a registered set of source IPs. Universal in APAC — every venue maintains a pre-approved IP list. Trivial to bypass if a host inside the perimeter is compromised, so it is a defense-in-depth layer, not a primary mechanism.</w:t>
      </w:r>
    </w:p>
    <w:p>
      <w:pPr>
        <w:pStyle w:val="Heading2"/>
      </w:pPr>
      <w:r>
        <w:t xml:space="preserve">Per-venue authentication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700"/>
        <w:gridCol w:w="2360"/>
        <w:gridCol w:w="2500"/>
      </w:tblGrid>
      <w:tr>
        <w:trPr>
          <w:tblHeader/>
        </w:trPr>
        <w:tc>
          <w:tcPr>
            <w:tcW w:type="dxa" w:w="18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Venue</w:t>
            </w:r>
          </w:p>
        </w:tc>
        <w:tc>
          <w:tcPr>
            <w:tcW w:type="dxa" w:w="27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Native OE auth</w:t>
            </w:r>
          </w:p>
        </w:tc>
        <w:tc>
          <w:tcPr>
            <w:tcW w:type="dxa" w:w="23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FIX auth</w:t>
            </w:r>
          </w:p>
        </w:tc>
        <w:tc>
          <w:tcPr>
            <w:tcW w:type="dxa" w:w="25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Additional</w:t>
            </w:r>
          </w:p>
        </w:tc>
      </w:tr>
      <w:tr>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ASX Trade (OUCH)</w:t>
            </w:r>
          </w:p>
        </w:tc>
        <w:tc>
          <w:tcPr>
            <w:tcW w:type="dxa" w:w="2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SoupBinTCP login + IP whitelist</w:t>
            </w:r>
          </w:p>
        </w:tc>
        <w:tc>
          <w:tcPr>
            <w:tcW w:type="dxa" w:w="23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FIX Logon + cert + IP whitelist</w:t>
            </w:r>
          </w:p>
        </w:tc>
        <w:tc>
          <w:tcPr>
            <w:tcW w:type="dxa" w:w="25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Signal B = TLS 1.2 + 90-day password rotation</w:t>
            </w:r>
          </w:p>
        </w:tc>
      </w:tr>
      <w:tr>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NSE NNF</w:t>
            </w:r>
          </w:p>
        </w:tc>
        <w:tc>
          <w:tcPr>
            <w:tcW w:type="dxa" w:w="2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Member-ID login + IP whitelist</w:t>
            </w:r>
          </w:p>
        </w:tc>
        <w:tc>
          <w:tcPr>
            <w:tcW w:type="dxa" w:w="23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Via vendor bridge</w:t>
            </w:r>
          </w:p>
        </w:tc>
        <w:tc>
          <w:tcPr>
            <w:tcW w:type="dxa" w:w="25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TAPless IP protocol; SEBI co-lo audit trail</w:t>
            </w:r>
          </w:p>
        </w:tc>
      </w:tr>
      <w:tr>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BSE ETI</w:t>
            </w:r>
          </w:p>
        </w:tc>
        <w:tc>
          <w:tcPr>
            <w:tcW w:type="dxa" w:w="2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ETI session login + IP whitelist</w:t>
            </w:r>
          </w:p>
        </w:tc>
        <w:tc>
          <w:tcPr>
            <w:tcW w:type="dxa" w:w="23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ETI is FIX-derived</w:t>
            </w:r>
          </w:p>
        </w:tc>
        <w:tc>
          <w:tcPr>
            <w:tcW w:type="dxa" w:w="25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BOLTPLUS Connectivity Manual lists onboarding steps</w:t>
            </w:r>
          </w:p>
        </w:tc>
      </w:tr>
      <w:tr>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JPX J-GATE</w:t>
            </w:r>
          </w:p>
        </w:tc>
        <w:tc>
          <w:tcPr>
            <w:tcW w:type="dxa" w:w="2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OUCH session login + member ID</w:t>
            </w:r>
          </w:p>
        </w:tc>
        <w:tc>
          <w:tcPr>
            <w:tcW w:type="dxa" w:w="23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FIX Logon + member ID + cert</w:t>
            </w:r>
          </w:p>
        </w:tc>
        <w:tc>
          <w:tcPr>
            <w:tcW w:type="dxa" w:w="25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AES-256 zip distribution of spec materials</w:t>
            </w:r>
          </w:p>
        </w:tc>
      </w:tr>
      <w:tr>
        <w:tc>
          <w:tcPr>
            <w:tcW w:type="dxa" w:w="18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KRX EXTURE+</w:t>
            </w:r>
          </w:p>
        </w:tc>
        <w:tc>
          <w:tcPr>
            <w:tcW w:type="dxa" w:w="2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Member portal cert + login</w:t>
            </w:r>
          </w:p>
        </w:tc>
        <w:tc>
          <w:tcPr>
            <w:tcW w:type="dxa" w:w="23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Member portal cert + login</w:t>
            </w:r>
          </w:p>
        </w:tc>
        <w:tc>
          <w:tcPr>
            <w:tcW w:type="dxa" w:w="25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All gated through member.krx.co.kr</w:t>
            </w:r>
          </w:p>
        </w:tc>
      </w:tr>
      <w:tr>
        <w:tc>
          <w:tcPr>
            <w:tcW w:type="dxa" w:w="18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TAIFEX TMP</w:t>
            </w:r>
          </w:p>
        </w:tc>
        <w:tc>
          <w:tcPr>
            <w:tcW w:type="dxa" w:w="2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TMP login + FCM ID + IP whitelist</w:t>
            </w:r>
          </w:p>
        </w:tc>
        <w:tc>
          <w:tcPr>
            <w:tcW w:type="dxa" w:w="23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FIX Logon + FCM ID</w:t>
            </w:r>
          </w:p>
        </w:tc>
        <w:tc>
          <w:tcPr>
            <w:tcW w:type="dxa" w:w="25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Member services issues credentials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ASX Signal B: </w:t>
            </w:r>
            <w:r>
              <w:t xml:space="preserve">the TLS-1.2 + 90-day password rotation pattern is the strongest production APAC example. TLS handles confidentiality and server auth; password handles application-layer client auth.</w:t>
            </w:r>
          </w:p>
          <w:p>
            <w:pPr>
              <w:spacing w:after="60"/>
            </w:pPr>
            <w:r>
              <w:rPr>
                <w:b/>
                <w:bCs/>
                <w:color w:val="0E7490"/>
              </w:rPr>
              <w:t xml:space="preserve">KRX: </w:t>
            </w:r>
            <w:r>
              <w:t xml:space="preserve">everything routes through member.krx.co.kr. A member firm's ability to download a spec, schedule conformance, or rotate a credential lives behind one portal with cert auth — a different model from the per-protocol logins of US venues.</w:t>
            </w:r>
          </w:p>
          <w:p>
            <w:pPr>
              <w:spacing w:after="60"/>
            </w:pPr>
            <w:r>
              <w:rPr>
                <w:b/>
                <w:bCs/>
                <w:color w:val="0E7490"/>
              </w:rPr>
              <w:t xml:space="preserve">TAIFEX: </w:t>
            </w:r>
            <w:r>
              <w:t xml:space="preserve">FCM credentials are issued and rotated by TAIFEX member services. The TMP spec describes the protocol; the actual credentials and network paths are gated.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"IP whitelisting is real authentication."</w:t>
            </w:r>
          </w:p>
          <w:p>
            <w:r>
              <w:rPr>
                <w:b/>
                <w:bCs/>
                <w:color w:val="065F46"/>
              </w:rPr>
              <w:t xml:space="preserve">Right: </w:t>
            </w:r>
            <w:r>
              <w:t xml:space="preserve">IP whitelisting is access control, not authentication. It tells you the packet came from an approved network; it does not tell you who or what inside that network sent it. Use it as a perimeter, not a primary identity check.</w:t>
            </w:r>
          </w:p>
        </w:tc>
      </w:tr>
    </w:tbl>
    <w:p>
      <w:pPr>
        <w:pStyle w:val="ListParagraph"/>
        <w:numPr>
          <w:ilvl w:val="0"/>
          <w:numId w:val="2"/>
        </w:numPr>
      </w:pPr>
      <w:r>
        <w:rPr>
          <w:b/>
          <w:bCs/>
        </w:rPr>
        <w:t xml:space="preserve">ASX Signal B FIX Manual (public PDF) — </w:t>
      </w:r>
      <w:hyperlink w:history="1" r:id="rIddd4k5fbqaknlpnfoowdyb">
        <w:r>
          <w:rPr>
            <w:rStyle w:val="Hyperlink"/>
          </w:rPr>
          <w:t xml:space="preserve">https://www.asx.com.au/connectivity-and-data/equity-market-products/cash-equity-trading/asx-signal-b</w:t>
        </w:r>
      </w:hyperlink>
    </w:p>
    <w:p>
      <w:pPr>
        <w:pStyle w:val="Heading1"/>
        <w:pageBreakBefore/>
      </w:pPr>
      <w:r>
        <w:t xml:space="preserve">Theme D — Hardware and the data path</w:t>
      </w:r>
    </w:p>
    <w:p>
      <w:pPr>
        <w:spacing w:after="120"/>
      </w:pPr>
      <w:r>
        <w:t xml:space="preserve">Theme C handled cross-cutting concerns. Theme D returns to physical hardware: what runs the bytes through the system. NICs, switches, FPGAs, cross-connects. Implementations are largely identical to US/EU because the vendor base is global; APAC's distinctive operational layer comes in Theme F.</w:t>
      </w:r>
    </w:p>
    <w:p>
      <w:pPr>
        <w:pStyle w:val="Heading1"/>
        <w:pageBreakBefore/>
      </w:pPr>
      <w:r>
        <w:t xml:space="preserve">15. NIC architecture and kernel bypass</w:t>
      </w:r>
    </w:p>
    <w:p>
      <w:pPr>
        <w:spacing w:after="120"/>
      </w:pPr>
      <w:r>
        <w:t xml:space="preserve">A network interface card is a PCIe device that moves bytes between the wire and host memory. The plain Linux driver path goes through interrupts, kernel TCP/IP, and socket buffers — adding microseconds and significant jitter. Kernel-bypass libraries map the NIC's ring buffers directly into user space, eliminating the kernel from the data path.</w:t>
      </w:r>
    </w:p>
    <w:p>
      <w:pPr>
        <w:pStyle w:val="Heading2"/>
      </w:pPr>
      <w:r>
        <w:t xml:space="preserve">RX / TX rings and descriptors</w:t>
      </w:r>
    </w:p>
    <w:p>
      <w:pPr>
        <w:spacing w:after="120"/>
      </w:pPr>
      <w:r>
        <w:t xml:space="preserve">A NIC exposes two ring buffers per queue: RX (received packets) and TX (packets to send). Each ring is an array of descriptors; each descriptor points to a buffer in host memory. The NIC writes received packet data into the buffer pointed to by the next RX descriptor, advances the head pointer, and (in interrupt mode) raises an interrupt. The host advances the tail pointer when the application has consumed the packet.</w:t>
      </w:r>
    </w:p>
    <w:p>
      <w:pPr>
        <w:pStyle w:val="Heading2"/>
      </w:pPr>
      <w:r>
        <w:t xml:space="preserve">Polling vs interrupts</w:t>
      </w:r>
    </w:p>
    <w:p>
      <w:pPr>
        <w:spacing w:after="120"/>
      </w:pPr>
      <w:r>
        <w:t xml:space="preserve">Interrupt-driven receive incurs a context switch and cache pollution per packet. Polling busy-loops the CPU on the descriptor ring, eliminating interrupt latency at the cost of 100% of one core continuously. HFT always polls — the trade is one core for tens of microseconds of jitter saved, which is no contest economically.</w:t>
      </w:r>
    </w:p>
    <w:p>
      <w:pPr>
        <w:pStyle w:val="Heading2"/>
      </w:pPr>
      <w:r>
        <w:t xml:space="preserve">The three kernel-bypass families</w:t>
      </w:r>
    </w:p>
    <w:p>
      <w:pPr>
        <w:pStyle w:val="ListParagraph"/>
        <w:numPr>
          <w:ilvl w:val="0"/>
          <w:numId w:val="2"/>
        </w:numPr>
      </w:pPr>
      <w:r>
        <w:rPr>
          <w:b/>
          <w:bCs/>
        </w:rPr>
        <w:t xml:space="preserve">OpenOnload (AMD/Xilinx Solarflare)</w:t>
      </w:r>
      <w:r>
        <w:t xml:space="preserve">  Library-level intercept of socket calls, runs the TCP/UDP stack in user space mapped to the NIC. Drop-in for many BSD-socket apps.</w:t>
      </w:r>
    </w:p>
    <w:p>
      <w:pPr>
        <w:pStyle w:val="ListParagraph"/>
        <w:numPr>
          <w:ilvl w:val="0"/>
          <w:numId w:val="2"/>
        </w:numPr>
      </w:pPr>
      <w:r>
        <w:rPr>
          <w:b/>
          <w:bCs/>
        </w:rPr>
        <w:t xml:space="preserve">VMA / XLIO (NVIDIA / Mellanox)</w:t>
      </w:r>
      <w:r>
        <w:t xml:space="preserve">  Equivalent for ConnectX NICs. XLIO is the modern successor.</w:t>
      </w:r>
    </w:p>
    <w:p>
      <w:pPr>
        <w:pStyle w:val="ListParagraph"/>
        <w:numPr>
          <w:ilvl w:val="0"/>
          <w:numId w:val="2"/>
        </w:numPr>
      </w:pPr>
      <w:r>
        <w:rPr>
          <w:b/>
          <w:bCs/>
        </w:rPr>
        <w:t xml:space="preserve">DPDK (open source)</w:t>
      </w:r>
      <w:r>
        <w:t xml:space="preserve">  Poll-mode drivers; the application takes over the NIC entirely and runs its own stack. Most flexible, lowest latency, most engineering effort.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Co-Lo participants: </w:t>
            </w:r>
            <w:r>
              <w:t xml:space="preserve">predominantly run Solarflare/onload or Mellanox/VMA; ODIN, Omnesys NEST, Symphony XTS and Greeksoft platforms all consume kernel-bypass NICs.</w:t>
            </w:r>
          </w:p>
          <w:p>
            <w:pPr>
              <w:spacing w:after="60"/>
            </w:pPr>
            <w:r>
              <w:rPr>
                <w:b/>
                <w:bCs/>
                <w:color w:val="0E7490"/>
              </w:rPr>
              <w:t xml:space="preserve">JPX Primary Co-Lo: </w:t>
            </w:r>
            <w:r>
              <w:t xml:space="preserve">supports ISVs (TT, ION/Fidessa, Itiviti) that ship kernel-bypass-capable adapters. Achieving the published ~3 µs Co-Lo latency requires kernel bypass.</w:t>
            </w:r>
          </w:p>
          <w:p>
            <w:pPr>
              <w:spacing w:after="60"/>
            </w:pPr>
            <w:r>
              <w:rPr>
                <w:b/>
                <w:bCs/>
                <w:color w:val="0E7490"/>
              </w:rPr>
              <w:t xml:space="preserve">KRX / TAIFEX: </w:t>
            </w:r>
            <w:r>
              <w:t xml:space="preserve">members run the same global vendor mix; kernel bypass is the assumed baseline for any participant that cares about microseconds.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"Kernel bypass means no kernel involvement at all."</w:t>
            </w:r>
          </w:p>
          <w:p>
            <w:r>
              <w:rPr>
                <w:b/>
                <w:bCs/>
                <w:color w:val="065F46"/>
              </w:rPr>
              <w:t xml:space="preserve">Right: </w:t>
            </w:r>
            <w:r>
              <w:t xml:space="preserve">The kernel still owns memory mapping, process lifecycle, and (when used) interrupts. Bypass libraries map NIC rings into user space; a misbehaving application can still incur context switches, page faults, or NUMA misses. The kernel is out of the data path, not out of the picture.</w:t>
            </w:r>
          </w:p>
        </w:tc>
      </w:tr>
    </w:tbl>
    <w:p>
      <w:pPr>
        <w:pStyle w:val="ListParagraph"/>
        <w:numPr>
          <w:ilvl w:val="0"/>
          <w:numId w:val="2"/>
        </w:numPr>
      </w:pPr>
      <w:r>
        <w:rPr>
          <w:b/>
          <w:bCs/>
        </w:rPr>
        <w:t xml:space="preserve">OpenOnload — </w:t>
      </w:r>
      <w:hyperlink w:history="1" r:id="rIdge-wg17fsxkezkezjlygp">
        <w:r>
          <w:rPr>
            <w:rStyle w:val="Hyperlink"/>
          </w:rPr>
          <w:t xml:space="preserve">https://www.xilinx.com/applications/data-center/network-acceleration/onload.html</w:t>
        </w:r>
      </w:hyperlink>
    </w:p>
    <w:p>
      <w:pPr>
        <w:pStyle w:val="ListParagraph"/>
        <w:numPr>
          <w:ilvl w:val="0"/>
          <w:numId w:val="2"/>
        </w:numPr>
      </w:pPr>
      <w:r>
        <w:rPr>
          <w:b/>
          <w:bCs/>
        </w:rPr>
        <w:t xml:space="preserve">DPDK — </w:t>
      </w:r>
      <w:hyperlink w:history="1" r:id="rIdb7gqvjc4234usmfssx98j">
        <w:r>
          <w:rPr>
            <w:rStyle w:val="Hyperlink"/>
          </w:rPr>
          <w:t xml:space="preserve">https://www.dpdk.org/</w:t>
        </w:r>
      </w:hyperlink>
    </w:p>
    <w:p>
      <w:pPr>
        <w:pStyle w:val="ListParagraph"/>
        <w:numPr>
          <w:ilvl w:val="0"/>
          <w:numId w:val="2"/>
        </w:numPr>
      </w:pPr>
      <w:r>
        <w:rPr>
          <w:b/>
          <w:bCs/>
        </w:rPr>
        <w:t xml:space="preserve">NVIDIA XLIO — </w:t>
      </w:r>
      <w:hyperlink w:history="1" r:id="rIdmogok-9x4xuid9ddd9m1a">
        <w:r>
          <w:rPr>
            <w:rStyle w:val="Hyperlink"/>
          </w:rPr>
          <w:t xml:space="preserve">https://docs.nvidia.com/networking/category/xlio</w:t>
        </w:r>
      </w:hyperlink>
    </w:p>
    <w:p>
      <w:pPr>
        <w:pStyle w:val="Heading1"/>
        <w:pageBreakBefore/>
      </w:pPr>
      <w:r>
        <w:t xml:space="preserve">16. L2 cut-through switching, microbursts, and tap aggregation</w:t>
      </w:r>
    </w:p>
    <w:p>
      <w:pPr>
        <w:spacing w:after="120"/>
      </w:pPr>
      <w:r>
        <w:t xml:space="preserve">Inside an APAC trading cabinet the network fabric is layer 2 only. The choice of switch and the way it handles bursts and mirroring is what distinguishes a serviceable HFT cage from a functional one.</w:t>
      </w:r>
    </w:p>
    <w:p>
      <w:pPr>
        <w:pStyle w:val="Heading2"/>
      </w:pPr>
      <w:r>
        <w:t xml:space="preserve">Cut-through vs store-and-forward</w:t>
      </w:r>
    </w:p>
    <w:p>
      <w:pPr>
        <w:spacing w:after="120"/>
      </w:pPr>
      <w:r>
        <w:t xml:space="preserve">Store-and-forward switches receive the entire frame, validate the FCS, then forward — adding one full serialisation time per hop. At 10 GbE that is ~1.2 µs for a 1500-byte frame. Cut-through switches forward as soon as they have read enough header to choose an output port (~64 bytes), in roughly 50–100 ns. The fastest layer-1 muxes (Arista 7130 with MetaMux, Cisco Nexus 3550-F) replicate symbols across ports as a hardware crossbar with port-to-port latency in the 3–5 ns range.</w:t>
      </w:r>
    </w:p>
    <w:p>
      <w:pPr>
        <w:pStyle w:val="Heading2"/>
      </w:pPr>
      <w:r>
        <w:t xml:space="preserve">Microbursts</w:t>
      </w:r>
    </w:p>
    <w:p>
      <w:pPr>
        <w:spacing w:after="120"/>
      </w:pPr>
      <w:r>
        <w:t xml:space="preserve">Market-data traffic is extremely bursty: a single trade can fan out to multiple correlated messages. If a switch's input is 10 GbE and its output is 10 GbE, those bursts can momentarily exceed line rate at the egress queue. Microbursts (sub-millisecond traffic spikes) cause transient queueing or, with small buffers, drops. Per-second counters miss them entirely; HFT switches expose nanosecond-resolution per-port counters specifically to surface them.</w:t>
      </w:r>
    </w:p>
    <w:p>
      <w:pPr>
        <w:pStyle w:val="Heading2"/>
      </w:pPr>
      <w:r>
        <w:t xml:space="preserve">Tap aggregation and capture</w:t>
      </w:r>
    </w:p>
    <w:p>
      <w:pPr>
        <w:spacing w:after="120"/>
      </w:pPr>
      <w:r>
        <w:t xml:space="preserve">Every production link is mirrored to a tap network feeding capture appliances. Capture is FPGA-based with hardware timestamps (Napatech, Endace, or vendor-integrated solutions). Captures feed PnL attribution, regulatory reconstruction (CAT in the US; SEBI in India and JFSA in Japan have analogous reconstruction needs), and strategy backtesting.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BKC: </w:t>
            </w:r>
            <w:r>
              <w:t xml:space="preserve">Phase-13 high-power-density tier (15 KVA per 42U×2) is built around 100 GbE switching and capture; the capacity expansion to ~4,000 racks over three years is sized for HFT participant growth.</w:t>
            </w:r>
          </w:p>
          <w:p>
            <w:pPr>
              <w:spacing w:after="60"/>
            </w:pPr>
            <w:r>
              <w:rPr>
                <w:b/>
                <w:bCs/>
                <w:color w:val="0E7490"/>
              </w:rPr>
              <w:t xml:space="preserve">JPX Primary Co-Lo: </w:t>
            </w:r>
            <w:r>
              <w:t xml:space="preserve">the published ~3 µs one-way to matcher requires layer-1 muxes or low-nanosecond cut-through switches throughout the participant cage.</w:t>
            </w:r>
          </w:p>
          <w:p>
            <w:pPr>
              <w:spacing w:after="60"/>
            </w:pPr>
            <w:r>
              <w:rPr>
                <w:b/>
                <w:bCs/>
                <w:color w:val="0E7490"/>
              </w:rPr>
              <w:t xml:space="preserve">TAIFEX TPEx: </w:t>
            </w:r>
            <w:r>
              <w:t xml:space="preserve">cabinet specs are smaller-scale than NSE/JPX but use the same global switch vendor base; cut-through is standard for any FCM serving algo flow.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"My switch's spec sheet is my production latency."</w:t>
            </w:r>
          </w:p>
          <w:p>
            <w:r>
              <w:rPr>
                <w:b/>
                <w:bCs/>
                <w:color w:val="065F46"/>
              </w:rPr>
              <w:t xml:space="preserve">Right: </w:t>
            </w:r>
            <w:r>
              <w:t xml:space="preserve">Vendor specs are typically port-to-port, unloaded, single 64-byte frame. Production includes queueing under microburst, lookup-table contention, and any management-plane loopback. Always measure with hardware timestamps on representative load.</w:t>
            </w:r>
          </w:p>
        </w:tc>
      </w:tr>
    </w:tbl>
    <w:p>
      <w:pPr>
        <w:pStyle w:val="ListParagraph"/>
        <w:numPr>
          <w:ilvl w:val="0"/>
          <w:numId w:val="2"/>
        </w:numPr>
      </w:pPr>
      <w:r>
        <w:rPr>
          <w:b/>
          <w:bCs/>
        </w:rPr>
        <w:t xml:space="preserve">Arista 7130 (formerly Exablaze) — </w:t>
      </w:r>
      <w:hyperlink w:history="1" r:id="rIdbyfk8kk4zus7xhrxrkojh">
        <w:r>
          <w:rPr>
            <w:rStyle w:val="Hyperlink"/>
          </w:rPr>
          <w:t xml:space="preserve">https://www.arista.com/en/products/7130-series</w:t>
        </w:r>
      </w:hyperlink>
    </w:p>
    <w:p>
      <w:pPr>
        <w:pStyle w:val="ListParagraph"/>
        <w:numPr>
          <w:ilvl w:val="0"/>
          <w:numId w:val="2"/>
        </w:numPr>
      </w:pPr>
      <w:r>
        <w:rPr>
          <w:b/>
          <w:bCs/>
        </w:rPr>
        <w:t xml:space="preserve">Cisco Nexus 3550-F — </w:t>
      </w:r>
      <w:hyperlink w:history="1" r:id="rId52y04rb195eevpjsz4s_k">
        <w:r>
          <w:rPr>
            <w:rStyle w:val="Hyperlink"/>
          </w:rPr>
          <w:t xml:space="preserve">https://www.cisco.com/c/en/us/products/switches/nexus-3550-f-series-fusion-switches/index.html</w:t>
        </w:r>
      </w:hyperlink>
    </w:p>
    <w:p>
      <w:pPr>
        <w:pStyle w:val="ListParagraph"/>
        <w:numPr>
          <w:ilvl w:val="0"/>
          <w:numId w:val="2"/>
        </w:numPr>
      </w:pPr>
      <w:r>
        <w:rPr>
          <w:b/>
          <w:bCs/>
        </w:rPr>
        <w:t xml:space="preserve">Napatech / Endace capture cards — </w:t>
      </w:r>
      <w:hyperlink w:history="1" r:id="rIdz57k66d1q8nuabfdbtfyy">
        <w:r>
          <w:rPr>
            <w:rStyle w:val="Hyperlink"/>
          </w:rPr>
          <w:t xml:space="preserve">https://www.napatech.com/</w:t>
        </w:r>
      </w:hyperlink>
    </w:p>
    <w:p>
      <w:pPr>
        <w:pStyle w:val="Heading1"/>
        <w:pageBreakBefore/>
      </w:pPr>
      <w:r>
        <w:t xml:space="preserve">17. FPGA pipeline anatomy</w:t>
      </w:r>
    </w:p>
    <w:p>
      <w:pPr>
        <w:spacing w:after="120"/>
      </w:pPr>
      <w:r>
        <w:t xml:space="preserve">FPGAs are the workhorse of the HFT fast path. A canonical FPGA tick-to-trade pipeline streams bytes through a series of stages, each implemented as a hardware circuit. Total bump-in-the-wire latency lands in the 100–500 nanosecond range. The pipeline structure is essentially the same across APAC venues; the per-protocol parser block is what changes.</w:t>
      </w:r>
    </w:p>
    <w:p>
      <w:pPr>
        <w:pStyle w:val="Heading2"/>
      </w:pPr>
      <w:r>
        <w:t xml:space="preserve">Stages of a generic FPGA pipeline</w:t>
      </w:r>
    </w:p>
    <w:p>
      <w:pPr>
        <w:pStyle w:val="ListParagraph"/>
        <w:numPr>
          <w:ilvl w:val="0"/>
          <w:numId w:val="2"/>
        </w:numPr>
      </w:pPr>
      <w:r>
        <w:rPr>
          <w:b/>
          <w:bCs/>
        </w:rPr>
        <w:t xml:space="preserve">SFP+ → MAC</w:t>
      </w:r>
      <w:r>
        <w:t xml:space="preserve">  Optics, line coding (PCS/PMA), Ethernet MAC. Hardware-vendor IP.</w:t>
      </w:r>
    </w:p>
    <w:p>
      <w:pPr>
        <w:pStyle w:val="ListParagraph"/>
        <w:numPr>
          <w:ilvl w:val="0"/>
          <w:numId w:val="2"/>
        </w:numPr>
      </w:pPr>
      <w:r>
        <w:rPr>
          <w:b/>
          <w:bCs/>
        </w:rPr>
        <w:t xml:space="preserve">IP / UDP parser</w:t>
      </w:r>
      <w:r>
        <w:t xml:space="preserve">  Strip headers, validate checksums, route by destination IP/port.</w:t>
      </w:r>
    </w:p>
    <w:p>
      <w:pPr>
        <w:pStyle w:val="ListParagraph"/>
        <w:numPr>
          <w:ilvl w:val="0"/>
          <w:numId w:val="2"/>
        </w:numPr>
      </w:pPr>
      <w:r>
        <w:rPr>
          <w:b/>
          <w:bCs/>
        </w:rPr>
        <w:t xml:space="preserve">Session-layer parser (MoldUDP64 / SoupBinTCP / TMP-header)</w:t>
      </w:r>
      <w:r>
        <w:t xml:space="preserve">  Validate sequence, identify message boundary.</w:t>
      </w:r>
    </w:p>
    <w:p>
      <w:pPr>
        <w:pStyle w:val="ListParagraph"/>
        <w:numPr>
          <w:ilvl w:val="0"/>
          <w:numId w:val="2"/>
        </w:numPr>
      </w:pPr>
      <w:r>
        <w:rPr>
          <w:b/>
          <w:bCs/>
        </w:rPr>
        <w:t xml:space="preserve">Application-message parser (ITCH / OUCH / TMP / FLEX)</w:t>
      </w:r>
      <w:r>
        <w:t xml:space="preserve">  Decode fields at fixed offsets, route by message type.</w:t>
      </w:r>
    </w:p>
    <w:p>
      <w:pPr>
        <w:pStyle w:val="ListParagraph"/>
        <w:numPr>
          <w:ilvl w:val="0"/>
          <w:numId w:val="2"/>
        </w:numPr>
      </w:pPr>
      <w:r>
        <w:rPr>
          <w:b/>
          <w:bCs/>
        </w:rPr>
        <w:t xml:space="preserve">Book builder</w:t>
      </w:r>
      <w:r>
        <w:t xml:space="preserve">  Maintain a price-time order book in on-chip memory; update on every relevant message.</w:t>
      </w:r>
    </w:p>
    <w:p>
      <w:pPr>
        <w:pStyle w:val="ListParagraph"/>
        <w:numPr>
          <w:ilvl w:val="0"/>
          <w:numId w:val="2"/>
        </w:numPr>
      </w:pPr>
      <w:r>
        <w:rPr>
          <w:b/>
          <w:bCs/>
        </w:rPr>
        <w:t xml:space="preserve">Strategy / signal</w:t>
      </w:r>
      <w:r>
        <w:t xml:space="preserve">  Apply the trading rule. Often a tier-1 deterministic check escalating to CPU for tier-2.</w:t>
      </w:r>
    </w:p>
    <w:p>
      <w:pPr>
        <w:pStyle w:val="ListParagraph"/>
        <w:numPr>
          <w:ilvl w:val="0"/>
          <w:numId w:val="2"/>
        </w:numPr>
      </w:pPr>
      <w:r>
        <w:rPr>
          <w:b/>
          <w:bCs/>
        </w:rPr>
        <w:t xml:space="preserve">Order builder</w:t>
      </w:r>
      <w:r>
        <w:t xml:space="preserve">  Construct an OUCH (or TMP / NNF) Enter Order message at known byte offsets.</w:t>
      </w:r>
    </w:p>
    <w:p>
      <w:pPr>
        <w:pStyle w:val="ListParagraph"/>
        <w:numPr>
          <w:ilvl w:val="0"/>
          <w:numId w:val="2"/>
        </w:numPr>
      </w:pPr>
      <w:r>
        <w:rPr>
          <w:b/>
          <w:bCs/>
        </w:rPr>
        <w:t xml:space="preserve">Pre-trade risk</w:t>
      </w:r>
      <w:r>
        <w:t xml:space="preserve">  Inline check (max-msg-rate, fat-finger, kill-switch); drop or pass.</w:t>
      </w:r>
    </w:p>
    <w:p>
      <w:pPr>
        <w:pStyle w:val="ListParagraph"/>
        <w:numPr>
          <w:ilvl w:val="0"/>
          <w:numId w:val="2"/>
        </w:numPr>
      </w:pPr>
      <w:r>
        <w:rPr>
          <w:b/>
          <w:bCs/>
        </w:rPr>
        <w:t xml:space="preserve">MAC → SFP+</w:t>
      </w:r>
      <w:r>
        <w:t xml:space="preserve">  Egress optics.</w:t>
      </w:r>
    </w:p>
    <w:p>
      <w:pPr>
        <w:pStyle w:val="Heading2"/>
      </w:pPr>
      <w:r>
        <w:t xml:space="preserve">What changes per venue</w:t>
      </w:r>
    </w:p>
    <w:p>
      <w:pPr>
        <w:spacing w:after="120"/>
      </w:pPr>
      <w:r>
        <w:t xml:space="preserve">The application-message parser and the order builder are venue-specific. An ITCH parser is not an OUCH parser; an OUCH builder is not a TMP builder. A firm operating in multiple APAC venues maintains a parser-builder pair per venue, swapping them in the same pipeline shell.</w:t>
      </w:r>
    </w:p>
    <w:p>
      <w:pPr>
        <w:pStyle w:val="Heading2"/>
      </w:pPr>
      <w:r>
        <w:t xml:space="preserve">Commercial FPGA platforms</w:t>
      </w:r>
    </w:p>
    <w:p>
      <w:pPr>
        <w:spacing w:after="120"/>
      </w:pPr>
      <w:r>
        <w:t xml:space="preserve">Algo-Logic, Enyx, NovaSparks, Hardcoded Networks all ship pre-built blocks for common protocols and books. None covers the full APAC venue set out of the box; integration of native APAC parsers (TMP, EXTURE+, J-GATE OUCH) is bespoke work, often done by the firm or a regional integrator.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MTBT: </w:t>
            </w:r>
            <w:r>
              <w:t xml:space="preserve">the order-by-order tick-by-tick feed is the canonical APAC FPGA target. A firm running tier-1 strategies on NSE will have an MTBT FPGA parser.</w:t>
            </w:r>
          </w:p>
          <w:p>
            <w:pPr>
              <w:spacing w:after="60"/>
            </w:pPr>
            <w:r>
              <w:rPr>
                <w:b/>
                <w:bCs/>
                <w:color w:val="0E7490"/>
              </w:rPr>
              <w:t xml:space="preserve">TAIFEX TMP: </w:t>
            </w:r>
            <w:r>
              <w:t xml:space="preserve">fixed-offset binary at L7+L6 makes TMP friendly to FPGA. Less common in production today than NSE/JPX, but increasing.</w:t>
            </w:r>
          </w:p>
          <w:p>
            <w:pPr>
              <w:spacing w:after="60"/>
            </w:pPr>
            <w:r>
              <w:rPr>
                <w:b/>
                <w:bCs/>
                <w:color w:val="0E7490"/>
              </w:rPr>
              <w:t xml:space="preserve">JPX J-GATE OUCH: </w:t>
            </w:r>
            <w:r>
              <w:t xml:space="preserve">Genium INET lineage means the OUCH parser block from one Genium venue mostly ports to another; the TradeGuard hop happens exchange-side and is invisible to the FPGA.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"FPGAs are always faster than CPUs."</w:t>
            </w:r>
          </w:p>
          <w:p>
            <w:r>
              <w:rPr>
                <w:b/>
                <w:bCs/>
                <w:color w:val="065F46"/>
              </w:rPr>
              <w:t xml:space="preserve">Right: </w:t>
            </w:r>
            <w:r>
              <w:t xml:space="preserve">Per-operation, no — a tuned CPU running AVX-512 can outperform a small FPGA on dense numeric work. FPGAs win on deterministic latency for branchy, parser-heavy, narrow-data-path workloads. Reserve FPGA for parts that have stabilised and where the latency saving translates to PnL.</w:t>
            </w:r>
          </w:p>
        </w:tc>
      </w:tr>
    </w:tbl>
    <w:p>
      <w:pPr>
        <w:pStyle w:val="ListParagraph"/>
        <w:numPr>
          <w:ilvl w:val="0"/>
          <w:numId w:val="2"/>
        </w:numPr>
      </w:pPr>
      <w:r>
        <w:rPr>
          <w:b/>
          <w:bCs/>
        </w:rPr>
        <w:t xml:space="preserve">Algo-Logic Systems — </w:t>
      </w:r>
      <w:hyperlink w:history="1" r:id="rIdspn_hpjeyxbqtfnegnjgd">
        <w:r>
          <w:rPr>
            <w:rStyle w:val="Hyperlink"/>
          </w:rPr>
          <w:t xml:space="preserve">https://algo-logic.com/</w:t>
        </w:r>
      </w:hyperlink>
    </w:p>
    <w:p>
      <w:pPr>
        <w:pStyle w:val="ListParagraph"/>
        <w:numPr>
          <w:ilvl w:val="0"/>
          <w:numId w:val="2"/>
        </w:numPr>
      </w:pPr>
      <w:r>
        <w:rPr>
          <w:b/>
          <w:bCs/>
        </w:rPr>
        <w:t xml:space="preserve">Enyx — </w:t>
      </w:r>
      <w:hyperlink w:history="1" r:id="rIdn7wpfwofbafirau2-0arg">
        <w:r>
          <w:rPr>
            <w:rStyle w:val="Hyperlink"/>
          </w:rPr>
          <w:t xml:space="preserve">https://www.enyx.com/</w:t>
        </w:r>
      </w:hyperlink>
    </w:p>
    <w:p>
      <w:pPr>
        <w:pStyle w:val="ListParagraph"/>
        <w:numPr>
          <w:ilvl w:val="0"/>
          <w:numId w:val="2"/>
        </w:numPr>
      </w:pPr>
      <w:r>
        <w:rPr>
          <w:b/>
          <w:bCs/>
        </w:rPr>
        <w:t xml:space="preserve">NovaSparks — </w:t>
      </w:r>
      <w:hyperlink w:history="1" r:id="rId8gn4rfvlcbb17iokgerpg">
        <w:r>
          <w:rPr>
            <w:rStyle w:val="Hyperlink"/>
          </w:rPr>
          <w:t xml:space="preserve">https://www.novasparks.com/</w:t>
        </w:r>
      </w:hyperlink>
    </w:p>
    <w:p>
      <w:pPr>
        <w:pStyle w:val="Heading1"/>
        <w:pageBreakBefore/>
      </w:pPr>
      <w:r>
        <w:t xml:space="preserve">18. Cross-connect, fibre, microwave — what's feasible in APAC</w:t>
      </w:r>
    </w:p>
    <w:p>
      <w:pPr>
        <w:spacing w:after="120"/>
      </w:pPr>
      <w:r>
        <w:t xml:space="preserve">Inside CoLo, every participant connects to the matching engine via a fibre cross-connect, length-equalised by the exchange. Across CoLo facilities — and across APAC's vast geography — the WAN dominates and the choices are different from the US Aurora-Carteret canonical.</w:t>
      </w:r>
    </w:p>
    <w:p>
      <w:pPr>
        <w:pStyle w:val="Heading2"/>
      </w:pPr>
      <w:r>
        <w:t xml:space="preserve">Inside CoLo</w:t>
      </w:r>
    </w:p>
    <w:p>
      <w:pPr>
        <w:spacing w:after="120"/>
      </w:pPr>
      <w:r>
        <w:t xml:space="preserve">Cross-connects are single-mode fibre, run through overhead ladder racking, terminated on the customer's patch panel. The exchange measures propagation delay from matching engine to customer port and pads short cables with extra fibre so all members see equal one-way latency. NSE BKC, JPX Primary Co-Lo, KRX Busan, TAIFEX TPEx all operate on this principle.</w:t>
      </w:r>
    </w:p>
    <w:p>
      <w:pPr>
        <w:pStyle w:val="Heading2"/>
      </w:pPr>
      <w:r>
        <w:t xml:space="preserve">Across the WAN — APAC reality</w:t>
      </w:r>
    </w:p>
    <w:p>
      <w:pPr>
        <w:spacing w:after="120"/>
      </w:pPr>
      <w:r>
        <w:t xml:space="preserve">The US has Aurora-Carteret (~1,189 km over land, ~4 ms RTT on best-of-breed microwave). APAC has no equivalent because the major venue centres (Sydney, Mumbai, Tokyo, Seoul, Taipei) are separated by thousands of kilometres, often by ocean. Microwave is not viable across these spans; WAN runs on submarine fibre and terrestrial backhaul, with propagation latency dominated by raw distance.</w:t>
      </w:r>
    </w:p>
    <w:p>
      <w:pPr>
        <w:pStyle w:val="Heading2"/>
      </w:pPr>
      <w:r>
        <w:t xml:space="preserve">Indicative APAC inter-venue RTTs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00"/>
        <w:gridCol w:w="5460"/>
      </w:tblGrid>
      <w:tr>
        <w:trPr>
          <w:tblHeader/>
        </w:trPr>
        <w:tc>
          <w:tcPr>
            <w:tcW w:type="dxa" w:w="22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Path</w:t>
            </w:r>
          </w:p>
        </w:tc>
        <w:tc>
          <w:tcPr>
            <w:tcW w:type="dxa" w:w="17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Typical RTT</w:t>
            </w:r>
          </w:p>
        </w:tc>
        <w:tc>
          <w:tcPr>
            <w:tcW w:type="dxa" w:w="54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Notes</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Hong Kong ↔ Tokyo</w:t>
            </w:r>
          </w:p>
        </w:tc>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~43 ms</w:t>
            </w:r>
          </w:p>
        </w:tc>
        <w:tc>
          <w:tcPr>
            <w:tcW w:type="dxa" w:w="54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JPX arrownet-Global figure; submarine fibre via NTT/ASE cables</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Singapore ↔ Tokyo</w:t>
            </w:r>
          </w:p>
        </w:tc>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~65 ms</w:t>
            </w:r>
          </w:p>
        </w:tc>
        <w:tc>
          <w:tcPr>
            <w:tcW w:type="dxa" w:w="54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Same network family; longer submarine path</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Tokyo ↔ Chicago</w:t>
            </w:r>
          </w:p>
        </w:tc>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~140 ms (RTT)</w:t>
            </w:r>
          </w:p>
        </w:tc>
        <w:tc>
          <w:tcPr>
            <w:tcW w:type="dxa" w:w="54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JPX-Chicago Co-Lo Direct service; trans-Pacific</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Mumbai ↔ Singapore</w:t>
            </w:r>
          </w:p>
        </w:tc>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~70 ms</w:t>
            </w:r>
          </w:p>
        </w:tc>
        <w:tc>
          <w:tcPr>
            <w:tcW w:type="dxa" w:w="54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Submarine + terrestrial</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Sydney ↔ Tokyo</w:t>
            </w:r>
          </w:p>
        </w:tc>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~110 ms</w:t>
            </w:r>
          </w:p>
        </w:tc>
        <w:tc>
          <w:tcPr>
            <w:tcW w:type="dxa" w:w="54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Trans-Pacific via Guam</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Sydney ↔ Singapore</w:t>
            </w:r>
          </w:p>
        </w:tc>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~95 ms</w:t>
            </w:r>
          </w:p>
        </w:tc>
        <w:tc>
          <w:tcPr>
            <w:tcW w:type="dxa" w:w="54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SEA-ME-WE / IGN cables</w:t>
            </w:r>
          </w:p>
        </w:tc>
      </w:tr>
    </w:tbl>
    <w:p>
      <w:pPr>
        <w:pStyle w:val="Heading2"/>
      </w:pPr>
      <w:r>
        <w:t xml:space="preserve">What this changes for strategy design</w:t>
      </w:r>
    </w:p>
    <w:p>
      <w:pPr>
        <w:spacing w:after="120"/>
      </w:pPr>
      <w:r>
        <w:t xml:space="preserve">Cross-APAC arbitrage strategies cannot live at microsecond scale. They live at tens-of-milliseconds scale. Hedging across HK and Tokyo is feasible at 43 ms; Singapore-Tokyo at 65 ms changes the strategy. Many APAC firms instead operate latency-sensitive strategies within a single venue and treat cross-venue links as risk/hedge channels rather than as alpha 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JPX arrownet-Global: </w:t>
            </w:r>
            <w:r>
              <w:t xml:space="preserve">the cross-border partner network connects JPX with Hong Kong and Singapore via NTT and ASE submarine cables. Published ~43 ms HK–Tokyo and ~65 ms SG–Tokyo are the canonical APAC inter-venue figures.</w:t>
            </w:r>
          </w:p>
          <w:p>
            <w:pPr>
              <w:spacing w:after="60"/>
            </w:pPr>
            <w:r>
              <w:rPr>
                <w:b/>
                <w:bCs/>
                <w:color w:val="0E7490"/>
              </w:rPr>
              <w:t xml:space="preserve">JPX-Chicago Co-Lo Direct: </w:t>
            </w:r>
            <w:r>
              <w:t xml:space="preserve">announced 2017 — a dedicated inter-region service that gives Tokyo participants a known-quality path to CME. Trans-Pacific propagation is the floor (~70 ms one-way).</w:t>
            </w:r>
          </w:p>
          <w:p>
            <w:pPr>
              <w:spacing w:after="60"/>
            </w:pPr>
            <w:r>
              <w:rPr>
                <w:b/>
                <w:bCs/>
                <w:color w:val="0E7490"/>
              </w:rPr>
              <w:t xml:space="preserve">NSE / BSE: </w:t>
            </w:r>
            <w:r>
              <w:t xml:space="preserve">both Mumbai-based; intra-venue arbitrage between NSE BKC and BSE PJ Tower runs over short metro fibre and is the lowest-latency cross-venue play in APAC.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"Microwave is universally faster than fibre."</w:t>
            </w:r>
          </w:p>
          <w:p>
            <w:r>
              <w:rPr>
                <w:b/>
                <w:bCs/>
                <w:color w:val="065F46"/>
              </w:rPr>
              <w:t xml:space="preserve">Right: </w:t>
            </w:r>
            <w:r>
              <w:t xml:space="preserve">In line-of-sight terrestrial spans on land — yes, by ~30%. Across oceans — irrelevant; microwave does not work. APAC's geography means submarine fibre dominates inter-venue and is the floor on cross-venue strategies.</w:t>
            </w:r>
          </w:p>
        </w:tc>
      </w:tr>
    </w:tbl>
    <w:p>
      <w:pPr>
        <w:pStyle w:val="ListParagraph"/>
        <w:numPr>
          <w:ilvl w:val="0"/>
          <w:numId w:val="2"/>
        </w:numPr>
      </w:pPr>
      <w:r>
        <w:rPr>
          <w:b/>
          <w:bCs/>
        </w:rPr>
        <w:t xml:space="preserve">JPX connectivity / arrownet-Global — </w:t>
      </w:r>
      <w:hyperlink w:history="1" r:id="rId6jm4mh25l2c8cc-gypadf">
        <w:r>
          <w:rPr>
            <w:rStyle w:val="Hyperlink"/>
          </w:rPr>
          <w:t xml:space="preserve">https://www.jpx.co.jp/english/systems/connectivity/</w:t>
        </w:r>
      </w:hyperlink>
    </w:p>
    <w:p>
      <w:pPr>
        <w:pStyle w:val="ListParagraph"/>
        <w:numPr>
          <w:ilvl w:val="0"/>
          <w:numId w:val="2"/>
        </w:numPr>
      </w:pPr>
      <w:r>
        <w:rPr>
          <w:b/>
          <w:bCs/>
        </w:rPr>
        <w:t xml:space="preserve">Submarine cable map (TeleGeography) — </w:t>
      </w:r>
      <w:hyperlink w:history="1" r:id="rIdthbsftixqliz5tbjh63iz">
        <w:r>
          <w:rPr>
            <w:rStyle w:val="Hyperlink"/>
          </w:rPr>
          <w:t xml:space="preserve">https://www.submarinecablemap.com/</w:t>
        </w:r>
      </w:hyperlink>
    </w:p>
    <w:p>
      <w:pPr>
        <w:pStyle w:val="Heading1"/>
        <w:pageBreakBefore/>
      </w:pPr>
      <w:r>
        <w:t xml:space="preserve">Theme E — Trading-stack concepts</w:t>
      </w:r>
    </w:p>
    <w:p>
      <w:pPr>
        <w:spacing w:after="120"/>
      </w:pPr>
      <w:r>
        <w:t xml:space="preserve">Theme D handled the data path. Theme E handles the higher-level abstractions that the data path serves: order books, matching engines, and pre-trade risk. APAC adds a couple of distinctive flavours, especially on the risk side.</w:t>
      </w:r>
    </w:p>
    <w:p>
      <w:pPr>
        <w:pStyle w:val="Heading1"/>
        <w:pageBreakBefore/>
      </w:pPr>
      <w:r>
        <w:t xml:space="preserve">19. Order book reconstruction — MBO vs MBP</w:t>
      </w:r>
    </w:p>
    <w:p>
      <w:pPr>
        <w:spacing w:after="120"/>
      </w:pPr>
      <w:r>
        <w:t xml:space="preserve">Market data feeds come in two principal flavours: MBO (Market By Order, full order-by-order) and MBP (Market By Price, aggregated by price level). The choice between them is one of the most consequential strategy-level decisions when integrating a new APAC venue.</w:t>
      </w:r>
    </w:p>
    <w:p>
      <w:pPr>
        <w:pStyle w:val="Heading2"/>
      </w:pPr>
      <w:r>
        <w:t xml:space="preserve">MBO — order-by-order</w:t>
      </w:r>
    </w:p>
    <w:p>
      <w:pPr>
        <w:spacing w:after="120"/>
      </w:pPr>
      <w:r>
        <w:t xml:space="preserve">Every individual order is announced when it arrives, when it modifies, and when it leaves. Subscribers reconstruct the full book by replaying messages from session start. Bandwidth: high. Information content: maximum — you can attribute every fill to a specific resting order, observe queue position evolution, and analyse cancel/modify behaviour.</w:t>
      </w:r>
    </w:p>
    <w:p>
      <w:pPr>
        <w:spacing w:after="120"/>
      </w:pPr>
      <w:r>
        <w:t xml:space="preserve">APAC MBO feeds: NSE MTBT (the canonical Indian MBO), JPX FLEX Full (TSE order-by-order), J-GATE ITCH (OSE derivatives), ASX Trade ITCH.</w:t>
      </w:r>
    </w:p>
    <w:p>
      <w:pPr>
        <w:pStyle w:val="Heading2"/>
      </w:pPr>
      <w:r>
        <w:t xml:space="preserve">MBP — price-level aggregated</w:t>
      </w:r>
    </w:p>
    <w:p>
      <w:pPr>
        <w:spacing w:after="120"/>
      </w:pPr>
      <w:r>
        <w:t xml:space="preserve">The publisher emits aggregate quantity at each price level. The subscriber sees "100 shares at 170.50, 50 at 170.55" without knowing which orders contribute. Lower bandwidth, smaller book state. Sufficient for most strategies; insufficient for queue-position-sensitive strategies.</w:t>
      </w:r>
    </w:p>
    <w:p>
      <w:pPr>
        <w:spacing w:after="120"/>
      </w:pPr>
      <w:r>
        <w:t xml:space="preserve">APAC MBP feeds: NSE MBP-5 and MBP-20 (5-deep and 20-deep aggregated), JPX FLEX Standard, KRX MDS (consolidated normalised feed).</w:t>
      </w:r>
    </w:p>
    <w:p>
      <w:pPr>
        <w:pStyle w:val="Heading2"/>
      </w:pPr>
      <w:r>
        <w:t xml:space="preserve">What you can and can't infer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3960"/>
      </w:tblGrid>
      <w:tr>
        <w:trPr>
          <w:tblHeader/>
        </w:trPr>
        <w:tc>
          <w:tcPr>
            <w:tcW w:type="dxa" w:w="24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Property</w:t>
            </w:r>
          </w:p>
        </w:tc>
        <w:tc>
          <w:tcPr>
            <w:tcW w:type="dxa" w:w="30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MBO</w:t>
            </w:r>
          </w:p>
        </w:tc>
        <w:tc>
          <w:tcPr>
            <w:tcW w:type="dxa" w:w="39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MBP</w:t>
            </w:r>
          </w:p>
        </w:tc>
      </w:tr>
      <w:tr>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Top-of-book</w:t>
            </w:r>
          </w:p>
        </w:tc>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Yes (compute from book)</w:t>
            </w:r>
          </w:p>
        </w:tc>
        <w:tc>
          <w:tcPr>
            <w:tcW w:type="dxa" w:w="3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Yes (often a separate field)</w:t>
            </w:r>
          </w:p>
        </w:tc>
      </w:tr>
      <w:tr>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Full depth</w:t>
            </w:r>
          </w:p>
        </w:tc>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Yes (always)</w:t>
            </w:r>
          </w:p>
        </w:tc>
        <w:tc>
          <w:tcPr>
            <w:tcW w:type="dxa" w:w="3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Bounded by configured depth</w:t>
            </w:r>
          </w:p>
        </w:tc>
      </w:tr>
      <w:tr>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Queue position estimate</w:t>
            </w:r>
          </w:p>
        </w:tc>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Yes (you see arrival order)</w:t>
            </w:r>
          </w:p>
        </w:tc>
        <w:tc>
          <w:tcPr>
            <w:tcW w:type="dxa" w:w="3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Heuristic only</w:t>
            </w:r>
          </w:p>
        </w:tc>
      </w:tr>
      <w:tr>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Hidden order detection</w:t>
            </w:r>
          </w:p>
        </w:tc>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Partial — visible cancellations and executions</w:t>
            </w:r>
          </w:p>
        </w:tc>
        <w:tc>
          <w:tcPr>
            <w:tcW w:type="dxa" w:w="3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Trade messages only</w:t>
            </w:r>
          </w:p>
        </w:tc>
      </w:tr>
      <w:tr>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Bandwidth at peak</w:t>
            </w:r>
          </w:p>
        </w:tc>
        <w:tc>
          <w:tcPr>
            <w:tcW w:type="dxa" w:w="30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High (every order event)</w:t>
            </w:r>
          </w:p>
        </w:tc>
        <w:tc>
          <w:tcPr>
            <w:tcW w:type="dxa" w:w="39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Lower (level-aggregate)</w:t>
            </w:r>
          </w:p>
        </w:tc>
      </w:tr>
      <w:tr>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Book reconstruction effort</w:t>
            </w:r>
          </w:p>
        </w:tc>
        <w:tc>
          <w:tcPr>
            <w:tcW w:type="dxa" w:w="30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Significant (handle every msg type)</w:t>
            </w:r>
          </w:p>
        </w:tc>
        <w:tc>
          <w:tcPr>
            <w:tcW w:type="dxa" w:w="39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Modest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MTBT: </w:t>
            </w:r>
            <w:r>
              <w:t xml:space="preserve">explicitly markets dual active-active MBO. NSE additionally provides MBP-5 and MBP-20 for less latency-sensitive consumers.</w:t>
            </w:r>
          </w:p>
          <w:p>
            <w:pPr>
              <w:spacing w:after="60"/>
            </w:pPr>
            <w:r>
              <w:rPr>
                <w:b/>
                <w:bCs/>
                <w:color w:val="0E7490"/>
              </w:rPr>
              <w:t xml:space="preserve">JPX FLEX Standard vs FLEX Full: </w:t>
            </w:r>
            <w:r>
              <w:t xml:space="preserve">two distinct services, different group plans, different recovery infrastructure. The choice between them is a per-strategy decision, not a redundancy decision.</w:t>
            </w:r>
          </w:p>
          <w:p>
            <w:pPr>
              <w:spacing w:after="60"/>
            </w:pPr>
            <w:r>
              <w:rPr>
                <w:b/>
                <w:bCs/>
                <w:color w:val="0E7490"/>
              </w:rPr>
              <w:t xml:space="preserve">KRX: </w:t>
            </w:r>
            <w:r>
              <w:t xml:space="preserve">MDS is consolidated and normalised (closer to MBP), High-Speed Information is the lower-latency multicast used by HFT. Both are gated through the member portal.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"Every venue's MBO feed has the same data."</w:t>
            </w:r>
          </w:p>
          <w:p>
            <w:r>
              <w:rPr>
                <w:b/>
                <w:bCs/>
                <w:color w:val="065F46"/>
              </w:rPr>
              <w:t xml:space="preserve">Right: </w:t>
            </w:r>
            <w:r>
              <w:t xml:space="preserve">Every venue's MBO feed has order-by-order resolution, but the field set, the visible/hidden distinction, the auction-state messages, and the trade-attribution rules vary. Do not assume one MBO parser ports to another without re-reading the spec.</w:t>
            </w:r>
          </w:p>
        </w:tc>
      </w:tr>
    </w:tbl>
    <w:p>
      <w:pPr>
        <w:pStyle w:val="ListParagraph"/>
        <w:numPr>
          <w:ilvl w:val="0"/>
          <w:numId w:val="2"/>
        </w:numPr>
      </w:pPr>
      <w:r>
        <w:rPr>
          <w:b/>
          <w:bCs/>
        </w:rPr>
        <w:t xml:space="preserve">NSE MTBT documentation portal — </w:t>
      </w:r>
      <w:hyperlink w:history="1" r:id="rIdnpii0l-zbo53nupti9gkr">
        <w:r>
          <w:rPr>
            <w:rStyle w:val="Hyperlink"/>
          </w:rPr>
          <w:t xml:space="preserve">https://www.connect2nse.com/marketdata</w:t>
        </w:r>
      </w:hyperlink>
    </w:p>
    <w:p>
      <w:pPr>
        <w:pStyle w:val="ListParagraph"/>
        <w:numPr>
          <w:ilvl w:val="0"/>
          <w:numId w:val="2"/>
        </w:numPr>
      </w:pPr>
      <w:r>
        <w:rPr>
          <w:b/>
          <w:bCs/>
        </w:rPr>
        <w:t xml:space="preserve">JPX FLEX specifications (gated) — </w:t>
      </w:r>
      <w:hyperlink w:history="1" r:id="rIdmqyg82fkikpbiyk-soaig">
        <w:r>
          <w:rPr>
            <w:rStyle w:val="Hyperlink"/>
          </w:rPr>
          <w:t xml:space="preserve">https://www.jpx.co.jp/english/systems/equities-trading/</w:t>
        </w:r>
      </w:hyperlink>
    </w:p>
    <w:p>
      <w:pPr>
        <w:pStyle w:val="Heading1"/>
        <w:pageBreakBefore/>
      </w:pPr>
      <w:r>
        <w:t xml:space="preserve">20. Matching engine architecture</w:t>
      </w:r>
    </w:p>
    <w:p>
      <w:pPr>
        <w:spacing w:after="120"/>
      </w:pPr>
      <w:r>
        <w:t xml:space="preserve">Every exchange is, at its core, a matching engine: a process that holds the central limit order book, accepts incoming orders, and produces executions. The architectural choices made in the matcher shape every subscriber's experience. APAC has both Genium INET-derived matchers (ASX Trade, OSE J-GATE) and bespoke designs (KRX EXTURE+, BSE BOLT+ on Eurex T7, TSE Arrowhead).</w:t>
      </w:r>
    </w:p>
    <w:p>
      <w:pPr>
        <w:pStyle w:val="Heading2"/>
      </w:pPr>
      <w:r>
        <w:t xml:space="preserve">Common architectural elements</w:t>
      </w:r>
    </w:p>
    <w:p>
      <w:pPr>
        <w:pStyle w:val="ListParagraph"/>
        <w:numPr>
          <w:ilvl w:val="0"/>
          <w:numId w:val="2"/>
        </w:numPr>
      </w:pPr>
      <w:r>
        <w:rPr>
          <w:b/>
          <w:bCs/>
        </w:rPr>
        <w:t xml:space="preserve">Gateway pool</w:t>
      </w:r>
      <w:r>
        <w:t xml:space="preserve">  N gateway processes terminate participant TCP sessions; gateways translate inbound OE messages and deliver them to the matcher core.</w:t>
      </w:r>
    </w:p>
    <w:p>
      <w:pPr>
        <w:pStyle w:val="ListParagraph"/>
        <w:numPr>
          <w:ilvl w:val="0"/>
          <w:numId w:val="2"/>
        </w:numPr>
      </w:pPr>
      <w:r>
        <w:rPr>
          <w:b/>
          <w:bCs/>
        </w:rPr>
        <w:t xml:space="preserve">Sequencer</w:t>
      </w:r>
      <w:r>
        <w:t xml:space="preserve">  A single logical component imposes a total order on incoming orders. Modern designs replicate the sequencer for HA (Arrowhead 4.0's three-node synchronous data servers; Genium INET's primary/standby).</w:t>
      </w:r>
    </w:p>
    <w:p>
      <w:pPr>
        <w:pStyle w:val="ListParagraph"/>
        <w:numPr>
          <w:ilvl w:val="0"/>
          <w:numId w:val="2"/>
        </w:numPr>
      </w:pPr>
      <w:r>
        <w:rPr>
          <w:b/>
          <w:bCs/>
        </w:rPr>
        <w:t xml:space="preserve">Matcher core</w:t>
      </w:r>
      <w:r>
        <w:t xml:space="preserve">  Holds the order book per instrument. Applies price-time priority. Generates executions and outbound MD messages.</w:t>
      </w:r>
    </w:p>
    <w:p>
      <w:pPr>
        <w:pStyle w:val="ListParagraph"/>
        <w:numPr>
          <w:ilvl w:val="0"/>
          <w:numId w:val="2"/>
        </w:numPr>
      </w:pPr>
      <w:r>
        <w:rPr>
          <w:b/>
          <w:bCs/>
        </w:rPr>
        <w:t xml:space="preserve">Outbound fan-out</w:t>
      </w:r>
      <w:r>
        <w:t xml:space="preserve">  MD events are emitted to multicast publishers; OE responses are routed back to the originating gateway.</w:t>
      </w:r>
    </w:p>
    <w:p>
      <w:pPr>
        <w:pStyle w:val="Heading2"/>
      </w:pPr>
      <w:r>
        <w:t xml:space="preserve">Price-time priority</w:t>
      </w:r>
    </w:p>
    <w:p>
      <w:pPr>
        <w:spacing w:after="120"/>
      </w:pPr>
      <w:r>
        <w:t xml:space="preserve">The default rule: incoming orders match against resting orders first by best price, then by earliest arrival. Variations exist (pro-rata in some derivatives, broker priority in some Asian markets) but price-time is the assumption. Knowing your gateway's place in the gateway pool — and your queue position at a given price — is what makes order placement strategies non-trivial.</w:t>
      </w:r>
    </w:p>
    <w:p>
      <w:pPr>
        <w:pStyle w:val="Heading2"/>
      </w:pPr>
      <w:r>
        <w:t xml:space="preserve">APAC-specific matcher facts</w:t>
      </w:r>
    </w:p>
    <w:p>
      <w:pPr>
        <w:pStyle w:val="ListParagraph"/>
        <w:numPr>
          <w:ilvl w:val="0"/>
          <w:numId w:val="2"/>
        </w:numPr>
      </w:pPr>
      <w:r>
        <w:rPr>
          <w:b/>
          <w:bCs/>
        </w:rPr>
        <w:t xml:space="preserve">TSE Arrowhead 4.0</w:t>
      </w:r>
      <w:r>
        <w:t xml:space="preserve">  Three synchronized data-server nodes. Closing auction was added in the November 2024 4.0 cutover. Co-built with Fujitsu.</w:t>
      </w:r>
    </w:p>
    <w:p>
      <w:pPr>
        <w:pStyle w:val="ListParagraph"/>
        <w:numPr>
          <w:ilvl w:val="0"/>
          <w:numId w:val="2"/>
        </w:numPr>
      </w:pPr>
      <w:r>
        <w:rPr>
          <w:b/>
          <w:bCs/>
        </w:rPr>
        <w:t xml:space="preserve">OSE J-GATE 3.0</w:t>
      </w:r>
      <w:r>
        <w:t xml:space="preserve">  Genium INET lineage. Mandatory TradeGuard pre-trade risk runs INSIDE the matcher — every participant's orders pass through it; you cannot bypass.</w:t>
      </w:r>
    </w:p>
    <w:p>
      <w:pPr>
        <w:pStyle w:val="ListParagraph"/>
        <w:numPr>
          <w:ilvl w:val="0"/>
          <w:numId w:val="2"/>
        </w:numPr>
      </w:pPr>
      <w:r>
        <w:rPr>
          <w:b/>
          <w:bCs/>
        </w:rPr>
        <w:t xml:space="preserve">KRX EXTURE+</w:t>
      </w:r>
      <w:r>
        <w:t xml:space="preserve">  Unified equities + derivatives + bonds matcher, launched 2014. Co-located at KRX's Busan primary data centre.</w:t>
      </w:r>
    </w:p>
    <w:p>
      <w:pPr>
        <w:pStyle w:val="ListParagraph"/>
        <w:numPr>
          <w:ilvl w:val="0"/>
          <w:numId w:val="2"/>
        </w:numPr>
      </w:pPr>
      <w:r>
        <w:rPr>
          <w:b/>
          <w:bCs/>
        </w:rPr>
        <w:t xml:space="preserve">BSE BOLT+</w:t>
      </w:r>
      <w:r>
        <w:t xml:space="preserve">  Post-2014 Deutsche Börse Eurex T7-derived stack. Covers Equity, Equity Derivatives, Currency, IRD.</w:t>
      </w:r>
    </w:p>
    <w:p>
      <w:pPr>
        <w:pStyle w:val="ListParagraph"/>
        <w:numPr>
          <w:ilvl w:val="0"/>
          <w:numId w:val="2"/>
        </w:numPr>
      </w:pPr>
      <w:r>
        <w:rPr>
          <w:b/>
          <w:bCs/>
        </w:rPr>
        <w:t xml:space="preserve">ASX Trade</w:t>
      </w:r>
      <w:r>
        <w:t xml:space="preserve">  Genium INET; Service Release 15 in May 2025 decommissioned OMnet in favour of FIX 5.0 SP2 + ITCH-derived MD.</w:t>
      </w:r>
    </w:p>
    <w:p>
      <w:pPr>
        <w:pStyle w:val="ListParagraph"/>
        <w:numPr>
          <w:ilvl w:val="0"/>
          <w:numId w:val="2"/>
        </w:numPr>
      </w:pPr>
      <w:r>
        <w:rPr>
          <w:b/>
          <w:bCs/>
        </w:rPr>
        <w:t xml:space="preserve">ASX 24</w:t>
      </w:r>
      <w:r>
        <w:t xml:space="preserve">  Currently the New Trading Platform (NTP); September 2025 announcement to re-platform onto LSEG Markets Technology over the next 18–24 months.</w:t>
      </w:r>
    </w:p>
    <w:p>
      <w:pPr>
        <w:pStyle w:val="ListParagraph"/>
        <w:numPr>
          <w:ilvl w:val="0"/>
          <w:numId w:val="2"/>
        </w:numPr>
      </w:pPr>
      <w:r>
        <w:rPr>
          <w:b/>
          <w:bCs/>
        </w:rPr>
        <w:t xml:space="preserve">TAIFEX ETS</w:t>
      </w:r>
      <w:r>
        <w:t xml:space="preserve">  Electronic Trading System; TMP is the wire protocol for FCM-to-ETS communication.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JPX TradeGuard: </w:t>
            </w:r>
            <w:r>
              <w:t xml:space="preserve">mandatory exchange-side pre-trade risk. The latency hit is real but uniform across participants; nobody has an advantage by routing around it because nobody can.</w:t>
            </w:r>
          </w:p>
          <w:p>
            <w:pPr>
              <w:spacing w:after="60"/>
            </w:pPr>
            <w:r>
              <w:rPr>
                <w:b/>
                <w:bCs/>
                <w:color w:val="0E7490"/>
              </w:rPr>
              <w:t xml:space="preserve">TSE Arrowhead 4.0 closing auction: </w:t>
            </w:r>
            <w:r>
              <w:t xml:space="preserve">added in 4.0; participants whose strategies didn't anticipate this had to update auction-handling logic across the FLEX consumers.</w:t>
            </w:r>
          </w:p>
          <w:p>
            <w:pPr>
              <w:spacing w:after="60"/>
            </w:pPr>
            <w:r>
              <w:rPr>
                <w:b/>
                <w:bCs/>
                <w:color w:val="0E7490"/>
              </w:rPr>
              <w:t xml:space="preserve">ASX 24 re-platform: </w:t>
            </w:r>
            <w:r>
              <w:t xml:space="preserve">the LSEG transition is a multi-year programme. Document set, latency profile, and integration paths will shift; expect concrete spec changes through 2026 and 2027.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"Price-time priority is the same everywhere."</w:t>
            </w:r>
          </w:p>
          <w:p>
            <w:r>
              <w:rPr>
                <w:b/>
                <w:bCs/>
                <w:color w:val="065F46"/>
              </w:rPr>
              <w:t xml:space="preserve">Right: </w:t>
            </w:r>
            <w:r>
              <w:t xml:space="preserve">It is the default assumption, but APAC venues introduce wrinkles: pro-rata in some derivatives instruments, broker priority in some legacy markets, and special auction rules (opening, closing, halt-resume) that override price-time. Always verify the priority rule per instrument class.</w:t>
            </w:r>
          </w:p>
        </w:tc>
      </w:tr>
    </w:tbl>
    <w:p>
      <w:pPr>
        <w:pStyle w:val="ListParagraph"/>
        <w:numPr>
          <w:ilvl w:val="0"/>
          <w:numId w:val="2"/>
        </w:numPr>
      </w:pPr>
      <w:r>
        <w:rPr>
          <w:b/>
          <w:bCs/>
        </w:rPr>
        <w:t xml:space="preserve">TSE Arrowhead overview — </w:t>
      </w:r>
      <w:hyperlink w:history="1" r:id="rIddwbiarcem8tnafrl2u1u_">
        <w:r>
          <w:rPr>
            <w:rStyle w:val="Hyperlink"/>
          </w:rPr>
          <w:t xml:space="preserve">https://www.jpx.co.jp/english/systems/equities-trading/</w:t>
        </w:r>
      </w:hyperlink>
    </w:p>
    <w:p>
      <w:pPr>
        <w:pStyle w:val="ListParagraph"/>
        <w:numPr>
          <w:ilvl w:val="0"/>
          <w:numId w:val="2"/>
        </w:numPr>
      </w:pPr>
      <w:r>
        <w:rPr>
          <w:b/>
          <w:bCs/>
        </w:rPr>
        <w:t xml:space="preserve">OSE J-GATE / TradeGuard — </w:t>
      </w:r>
      <w:hyperlink w:history="1" r:id="rIdseoozhndf45gpvpwau6kn">
        <w:r>
          <w:rPr>
            <w:rStyle w:val="Hyperlink"/>
          </w:rPr>
          <w:t xml:space="preserve">https://www.jpx.co.jp/english/systems/derivatives-trading/</w:t>
        </w:r>
      </w:hyperlink>
    </w:p>
    <w:p>
      <w:pPr>
        <w:pStyle w:val="Heading1"/>
        <w:pageBreakBefore/>
      </w:pPr>
      <w:r>
        <w:t xml:space="preserve">21. Pre-trade risk and the APAC variant</w:t>
      </w:r>
    </w:p>
    <w:p>
      <w:pPr>
        <w:spacing w:after="120"/>
      </w:pPr>
      <w:r>
        <w:t xml:space="preserve">US 15c3-5 mandates broker-side pre-trade risk. APAC takes a different shape: more often the exchange itself imposes mandatory risk, sometimes inside the matcher. Member firms still run their own controls on top, but the load-bearing layer is often venue-side.</w:t>
      </w:r>
    </w:p>
    <w:p>
      <w:pPr>
        <w:pStyle w:val="Heading2"/>
      </w:pPr>
      <w:r>
        <w:t xml:space="preserve">Per-venue pre-trade risk landscape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00"/>
        <w:gridCol w:w="3660"/>
      </w:tblGrid>
      <w:tr>
        <w:trPr>
          <w:tblHeader/>
        </w:trPr>
        <w:tc>
          <w:tcPr>
            <w:tcW w:type="dxa" w:w="22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Venue</w:t>
            </w:r>
          </w:p>
        </w:tc>
        <w:tc>
          <w:tcPr>
            <w:tcW w:type="dxa" w:w="35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Mandatory exchange-side risk?</w:t>
            </w:r>
          </w:p>
        </w:tc>
        <w:tc>
          <w:tcPr>
            <w:tcW w:type="dxa" w:w="36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Member-side typical</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OSE J-GATE (Japan)</w:t>
            </w:r>
          </w:p>
        </w:tc>
        <w:tc>
          <w:tcPr>
            <w:tcW w:type="dxa" w:w="35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Yes — TradeGuard inside the matcher</w:t>
            </w:r>
          </w:p>
        </w:tc>
        <w:tc>
          <w:tcPr>
            <w:tcW w:type="dxa" w:w="36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Plus member-side limits</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NSE (India)</w:t>
            </w:r>
          </w:p>
        </w:tc>
        <w:tc>
          <w:tcPr>
            <w:tcW w:type="dxa" w:w="35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Limited — SEBI rules drive member-side</w:t>
            </w:r>
          </w:p>
        </w:tc>
        <w:tc>
          <w:tcPr>
            <w:tcW w:type="dxa" w:w="36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Member algo certification, OBP-style checks</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BSE (India)</w:t>
            </w:r>
          </w:p>
        </w:tc>
        <w:tc>
          <w:tcPr>
            <w:tcW w:type="dxa" w:w="35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Limited — SEBI rules drive member-side</w:t>
            </w:r>
          </w:p>
        </w:tc>
        <w:tc>
          <w:tcPr>
            <w:tcW w:type="dxa" w:w="36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Member-side TPS / OBP</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KRX (Korea)</w:t>
            </w:r>
          </w:p>
        </w:tc>
        <w:tc>
          <w:tcPr>
            <w:tcW w:type="dxa" w:w="35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Yes — KRX risk gateway sits in front of matcher</w:t>
            </w:r>
          </w:p>
        </w:tc>
        <w:tc>
          <w:tcPr>
            <w:tcW w:type="dxa" w:w="36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Plus member-side</w:t>
            </w:r>
          </w:p>
        </w:tc>
      </w:tr>
      <w:tr>
        <w:tc>
          <w:tcPr>
            <w:tcW w:type="dxa" w:w="22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TAIFEX (Taiwan)</w:t>
            </w:r>
          </w:p>
        </w:tc>
        <w:tc>
          <w:tcPr>
            <w:tcW w:type="dxa" w:w="35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FCM-side primarily, with venue-imposed limits</w:t>
            </w:r>
          </w:p>
        </w:tc>
        <w:tc>
          <w:tcPr>
            <w:tcW w:type="dxa" w:w="36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FCM controls (TimeInForce, PositionEffect)</w:t>
            </w:r>
          </w:p>
        </w:tc>
      </w:tr>
      <w:tr>
        <w:tc>
          <w:tcPr>
            <w:tcW w:type="dxa" w:w="22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ASX Trade / ASX 24 (Australia)</w:t>
            </w:r>
          </w:p>
        </w:tc>
        <w:tc>
          <w:tcPr>
            <w:tcW w:type="dxa" w:w="35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Member-side primary, ASIC-overseen</w:t>
            </w:r>
          </w:p>
        </w:tc>
        <w:tc>
          <w:tcPr>
            <w:tcW w:type="dxa" w:w="36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Standard fat-finger / max-position</w:t>
            </w:r>
          </w:p>
        </w:tc>
      </w:tr>
    </w:tbl>
    <w:p>
      <w:pPr>
        <w:pStyle w:val="Heading2"/>
      </w:pPr>
      <w:r>
        <w:t xml:space="preserve">OSE TradeGuard in detail</w:t>
      </w:r>
    </w:p>
    <w:p>
      <w:pPr>
        <w:spacing w:after="120"/>
      </w:pPr>
      <w:r>
        <w:t xml:space="preserve">TradeGuard runs inside the J-GATE matcher. Every participant's orders pass through it before reaching the order book. Checks include max order size, max-message-rate, position limits, and product-specific risk limits set by the exchange. You cannot bypass it; doing so is not a configuration option. The latency cost is uniform across all members, so it is a level playing field by design.</w:t>
      </w:r>
    </w:p>
    <w:p>
      <w:pPr>
        <w:pStyle w:val="Heading2"/>
      </w:pPr>
      <w:r>
        <w:t xml:space="preserve">KRX risk gateway</w:t>
      </w:r>
    </w:p>
    <w:p>
      <w:pPr>
        <w:spacing w:after="120"/>
      </w:pPr>
      <w:r>
        <w:t xml:space="preserve">KRX places a risk component in front of the matcher for derivatives and equities. It enforces investor-type rules (foreign / domestic, institutional / retail / proprietary) and order-purpose codes (hedging / arbitrage / speculation) — the latter mandated for tax and reporting and required on every derivatives order via FIX custom tags 6000–9999.</w:t>
      </w:r>
    </w:p>
    <w:p>
      <w:pPr>
        <w:pStyle w:val="Heading2"/>
      </w:pPr>
      <w:r>
        <w:t xml:space="preserve">NSE TAP, TAPless, and SEBI</w:t>
      </w:r>
    </w:p>
    <w:p>
      <w:pPr>
        <w:spacing w:after="120"/>
      </w:pPr>
      <w:r>
        <w:t xml:space="preserve">NSE's TAP (Trading Access Point) was a mandated middleware box between member front-end and the exchange host, introduced 2008 with the X.25-to-IP migration. TAP was replaced by TAPless IP protocol in February 2016 and fully discontinued in 2019. SEBI's October 2024 settlement order on TAP architecture and network connectivity is the canonical reference for the rationale.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JPX: </w:t>
            </w:r>
            <w:r>
              <w:t xml:space="preserve">TradeGuard's exchange-side enforcement is the single most distinctive APAC pre-trade risk feature relative to US/EU. Its existence reframes how member-side risk is designed: as backup, not as primary.</w:t>
            </w:r>
          </w:p>
          <w:p>
            <w:pPr>
              <w:spacing w:after="60"/>
            </w:pPr>
            <w:r>
              <w:rPr>
                <w:b/>
                <w:bCs/>
                <w:color w:val="0E7490"/>
              </w:rPr>
              <w:t xml:space="preserve">KRX FIX custom tags: </w:t>
            </w:r>
            <w:r>
              <w:t xml:space="preserve">the 6000–9999 range carries Korea-specific fields including investor-type, account-designation, and order-purpose. Hedging / arbitrage / speculation classification on every derivatives order is an explicit regulatory data-quality requirement.</w:t>
            </w:r>
          </w:p>
          <w:p>
            <w:pPr>
              <w:spacing w:after="60"/>
            </w:pPr>
            <w:r>
              <w:rPr>
                <w:b/>
                <w:bCs/>
                <w:color w:val="0E7490"/>
              </w:rPr>
              <w:t xml:space="preserve">TAIFEX TimeInForce / PositionEffect: </w:t>
            </w:r>
            <w:r>
              <w:t xml:space="preserve">TimeInForce {0=Day/ROD, 3=IOC, 4=FOK} and PositionEffect {O=Open, C=Close, D=Day-Trade, A=Open with offsets, 7=Offset by FCM} are TMP-specific extensions that effectively encode pre-trade intent for FCM-side risk.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"Exchange-side mandatory risk gives my firm a free pass on internal controls."</w:t>
            </w:r>
          </w:p>
          <w:p>
            <w:r>
              <w:rPr>
                <w:b/>
                <w:bCs/>
                <w:color w:val="065F46"/>
              </w:rPr>
              <w:t xml:space="preserve">Right: </w:t>
            </w:r>
            <w:r>
              <w:t xml:space="preserve">Exchange-side risk is a floor, not a ceiling. Member-side risk catches firm-specific limits (per-trader, per-desk, per-strategy P&amp;L), satisfies regulator expectations beyond the venue's checks, and provides an out-of-band kill switch when the exchange path is the thing that's broken.</w:t>
            </w:r>
          </w:p>
        </w:tc>
      </w:tr>
    </w:tbl>
    <w:p>
      <w:pPr>
        <w:pStyle w:val="ListParagraph"/>
        <w:numPr>
          <w:ilvl w:val="0"/>
          <w:numId w:val="2"/>
        </w:numPr>
      </w:pPr>
      <w:r>
        <w:rPr>
          <w:b/>
          <w:bCs/>
        </w:rPr>
        <w:t xml:space="preserve">JPX OSE TradeGuard description — </w:t>
      </w:r>
      <w:hyperlink w:history="1" r:id="rId2yolevzkpy3qnqkws8uhb">
        <w:r>
          <w:rPr>
            <w:rStyle w:val="Hyperlink"/>
          </w:rPr>
          <w:t xml:space="preserve">https://www.jpx.co.jp/english/systems/derivatives-trading/</w:t>
        </w:r>
      </w:hyperlink>
    </w:p>
    <w:p>
      <w:pPr>
        <w:pStyle w:val="ListParagraph"/>
        <w:numPr>
          <w:ilvl w:val="0"/>
          <w:numId w:val="2"/>
        </w:numPr>
      </w:pPr>
      <w:r>
        <w:rPr>
          <w:b/>
          <w:bCs/>
        </w:rPr>
        <w:t xml:space="preserve">SEBI orders on TAP architecture — </w:t>
      </w:r>
      <w:hyperlink w:history="1" r:id="rId3uf04n6l3a90lmiqqke4s">
        <w:r>
          <w:rPr>
            <w:rStyle w:val="Hyperlink"/>
          </w:rPr>
          <w:t xml:space="preserve">https://www.sebi.gov.in/</w:t>
        </w:r>
      </w:hyperlink>
    </w:p>
    <w:p>
      <w:pPr>
        <w:pStyle w:val="Heading1"/>
        <w:pageBreakBefore/>
      </w:pPr>
      <w:r>
        <w:t xml:space="preserve">Theme F — APAC-specific operational reality</w:t>
      </w:r>
    </w:p>
    <w:p>
      <w:pPr>
        <w:spacing w:after="120"/>
      </w:pPr>
      <w:r>
        <w:t xml:space="preserve">Themes A through E are conceptually portable: a US engineer who knows the OSI stack and TCP/UDP can map them onto any region. Theme F is what cannot be ported. NDA-gated documentation, bilingual spec management, custom-tag conventions, and the regional ISV ecosystem are the parts of APAC that surprise teams arriving from the well-documented US/EU world.</w:t>
      </w:r>
    </w:p>
    <w:p>
      <w:pPr>
        <w:pStyle w:val="Heading1"/>
        <w:pageBreakBefore/>
      </w:pPr>
      <w:r>
        <w:t xml:space="preserve">22. NDA-gated documentation</w:t>
      </w:r>
    </w:p>
    <w:p>
      <w:pPr>
        <w:spacing w:after="120"/>
      </w:pPr>
      <w:r>
        <w:t xml:space="preserve">In the US, every Nasdaq, NYSE, Cboe, and CME native protocol spec is on a public PDF. In APAC, this is the exception. Plan integration timelines around documentation access, not just protocol complexity.</w:t>
      </w:r>
    </w:p>
    <w:p>
      <w:pPr>
        <w:pStyle w:val="Heading2"/>
      </w:pPr>
      <w:r>
        <w:t xml:space="preserve">Public vs gated by venue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3300"/>
        <w:gridCol w:w="4360"/>
      </w:tblGrid>
      <w:tr>
        <w:trPr>
          <w:tblHeader/>
        </w:trPr>
        <w:tc>
          <w:tcPr>
            <w:tcW w:type="dxa" w:w="17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Venue</w:t>
            </w:r>
          </w:p>
        </w:tc>
        <w:tc>
          <w:tcPr>
            <w:tcW w:type="dxa" w:w="33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Public PDFs available</w:t>
            </w:r>
          </w:p>
        </w:tc>
        <w:tc>
          <w:tcPr>
            <w:tcW w:type="dxa" w:w="43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Gated material</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ASX (AU)</w:t>
            </w:r>
          </w:p>
        </w:tc>
        <w:tc>
          <w:tcPr>
            <w:tcW w:type="dxa" w:w="33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OUCH, ITCH, MDP, BOEv3, PITCH, FIX 5.0 SP2, Connectivity manuals</w:t>
            </w:r>
          </w:p>
        </w:tc>
        <w:tc>
          <w:tcPr>
            <w:tcW w:type="dxa" w:w="43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None of substance — ASX is exceptionally open</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Cboe AU</w:t>
            </w:r>
          </w:p>
        </w:tc>
        <w:tc>
          <w:tcPr>
            <w:tcW w:type="dxa" w:w="33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BOEv3, Multicast PITCH, FIX, recovery services</w:t>
            </w:r>
          </w:p>
        </w:tc>
        <w:tc>
          <w:tcPr>
            <w:tcW w:type="dxa" w:w="43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Conformance test materials, IP allocations</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NSE (IN)</w:t>
            </w:r>
          </w:p>
        </w:tc>
        <w:tc>
          <w:tcPr>
            <w:tcW w:type="dxa" w:w="33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Trimmed F&amp;O NNF, CM NNF, MTBT, drop-copy, FAQ</w:t>
            </w:r>
          </w:p>
        </w:tc>
        <w:tc>
          <w:tcPr>
            <w:tcW w:type="dxa" w:w="43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Full NNF protocol, conformance suite</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BSE (IN)</w:t>
            </w:r>
          </w:p>
        </w:tc>
        <w:tc>
          <w:tcPr>
            <w:tcW w:type="dxa" w:w="33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BOLT+ IML v6.0, ETI v1.4.8, BOLTPLUS Connectivity v1.4, FAST/FIX MD</w:t>
            </w:r>
          </w:p>
        </w:tc>
        <w:tc>
          <w:tcPr>
            <w:tcW w:type="dxa" w:w="43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Member-only assets via NTA test environment</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JPX (JP)</w:t>
            </w:r>
          </w:p>
        </w:tc>
        <w:tc>
          <w:tcPr>
            <w:tcW w:type="dxa" w:w="33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FLEX Historical, arrowhead System Stats, J-GATE ITCH partial</w:t>
            </w:r>
          </w:p>
        </w:tc>
        <w:tc>
          <w:tcPr>
            <w:tcW w:type="dxa" w:w="43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OUCH, OMnetAPI, full ITCH, Connectivity Manual, drop-copy spec (AES-256 zip)</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KRX (KR)</w:t>
            </w:r>
          </w:p>
        </w:tc>
        <w:tc>
          <w:tcPr>
            <w:tcW w:type="dxa" w:w="33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Product specs, trading rules</w:t>
            </w:r>
          </w:p>
        </w:tc>
        <w:tc>
          <w:tcPr>
            <w:tcW w:type="dxa" w:w="43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Native binary OE, MDS, High-Speed Info, FIX spec — all member-portal</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TAIFEX (TW)</w:t>
            </w:r>
          </w:p>
        </w:tc>
        <w:tc>
          <w:tcPr>
            <w:tcW w:type="dxa" w:w="33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TMP v2.15.0, FIX v3.0.13, File Transfer v1.12.0</w:t>
            </w:r>
          </w:p>
        </w:tc>
        <w:tc>
          <w:tcPr>
            <w:tcW w:type="dxa" w:w="43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Test certs, conformance, IP allocations, multicast group lists</w:t>
            </w:r>
          </w:p>
        </w:tc>
      </w:tr>
    </w:tbl>
    <w:p>
      <w:pPr>
        <w:pStyle w:val="Heading2"/>
      </w:pPr>
      <w:r>
        <w:t xml:space="preserve">How to plan around it</w:t>
      </w:r>
    </w:p>
    <w:p>
      <w:pPr>
        <w:pStyle w:val="ListParagraph"/>
        <w:numPr>
          <w:ilvl w:val="0"/>
          <w:numId w:val="2"/>
        </w:numPr>
      </w:pPr>
      <w:r>
        <w:rPr>
          <w:b/>
          <w:bCs/>
        </w:rPr>
        <w:t xml:space="preserve">Start the access conversation early</w:t>
      </w:r>
      <w:r>
        <w:t xml:space="preserve">  Member empanelment, NDA execution, and credential issuance can take weeks. KRX in particular routes everything through member.krx.co.kr; getting portal access is the first sprint.</w:t>
      </w:r>
    </w:p>
    <w:p>
      <w:pPr>
        <w:pStyle w:val="ListParagraph"/>
        <w:numPr>
          <w:ilvl w:val="0"/>
          <w:numId w:val="2"/>
        </w:numPr>
      </w:pPr>
      <w:r>
        <w:rPr>
          <w:b/>
          <w:bCs/>
        </w:rPr>
        <w:t xml:space="preserve">Public PDFs are sufficient for initial design</w:t>
      </w:r>
      <w:r>
        <w:t xml:space="preserve">  TAIFEX TMP, ASX OUCH/ITCH, BSE BOLT+ ETI, and the trimmed NSE NNF are detailed enough to scope an integration. The gated parts are usually edge cases (rare message types, pre-trade risk parameter ranges).</w:t>
      </w:r>
    </w:p>
    <w:p>
      <w:pPr>
        <w:pStyle w:val="ListParagraph"/>
        <w:numPr>
          <w:ilvl w:val="0"/>
          <w:numId w:val="2"/>
        </w:numPr>
      </w:pPr>
      <w:r>
        <w:rPr>
          <w:b/>
          <w:bCs/>
        </w:rPr>
        <w:t xml:space="preserve">Vendor relationships shorten the path</w:t>
      </w:r>
      <w:r>
        <w:t xml:space="preserve">  ISVs (TT, ION, Itiviti, KOSCOM, ODIN, Omnesys, Symphony, Greeksoft) maintain certified connectivity stacks and can route the firm onto the venue without first-party empanelment for every protocol.</w:t>
      </w:r>
    </w:p>
    <w:p>
      <w:pPr>
        <w:pStyle w:val="ListParagraph"/>
        <w:numPr>
          <w:ilvl w:val="0"/>
          <w:numId w:val="2"/>
        </w:numPr>
      </w:pPr>
      <w:r>
        <w:rPr>
          <w:b/>
          <w:bCs/>
        </w:rPr>
        <w:t xml:space="preserve">Track spec versions</w:t>
      </w:r>
      <w:r>
        <w:t xml:space="preserve">  Gated specs change without public announcement. Maintaining an internal canonical "current version" matters more in APAC than in the US, where versioned PDFs live on stable URLs.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JPX: </w:t>
            </w:r>
            <w:r>
              <w:t xml:space="preserve">publishes a gated System Documents Site for member firms; the J-GATE Drop Copy Specification is distributed as an AES-256 encrypted zip. The connectivity manual itself is gated.</w:t>
            </w:r>
          </w:p>
          <w:p>
            <w:pPr>
              <w:spacing w:after="60"/>
            </w:pPr>
            <w:r>
              <w:rPr>
                <w:b/>
                <w:bCs/>
                <w:color w:val="0E7490"/>
              </w:rPr>
              <w:t xml:space="preserve">KRX: </w:t>
            </w:r>
            <w:r>
              <w:t xml:space="preserve">documentation distribution is one of the heaviest-gated in APAC. Every spec, conformance script, custom-tag dictionary, and FIX interface lives behind member.krx.co.kr.</w:t>
            </w:r>
          </w:p>
          <w:p>
            <w:pPr>
              <w:spacing w:after="60"/>
            </w:pPr>
            <w:r>
              <w:rPr>
                <w:b/>
                <w:bCs/>
                <w:color w:val="0E7490"/>
              </w:rPr>
              <w:t xml:space="preserve">NSE: </w:t>
            </w:r>
            <w:r>
              <w:t xml:space="preserve">the trimmed NNF Protocol PDFs (F&amp;O v9.38, Capital Market v6.0, Commodity v2.9, SLBM v2.6, Drop Copy v1.8, FAQ v2.0) are sufficient for vendor scoping but not for production implementation; the full versions require empanelment.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"If a spec is gated, I should ignore the public PDFs."</w:t>
            </w:r>
          </w:p>
          <w:p>
            <w:r>
              <w:rPr>
                <w:b/>
                <w:bCs/>
                <w:color w:val="065F46"/>
              </w:rPr>
              <w:t xml:space="preserve">Right: </w:t>
            </w:r>
            <w:r>
              <w:t xml:space="preserve">Public PDFs (trimmed or otherwise) usually establish protocol structure, message types, and sequencing semantics correctly. Gated material adds detail (rare message types, exact parameter ranges, conformance test cases). Use the public material to scope and design; pull the gated material once you are committed and onboarded.</w:t>
            </w:r>
          </w:p>
        </w:tc>
      </w:tr>
    </w:tbl>
    <w:p>
      <w:pPr>
        <w:pStyle w:val="ListParagraph"/>
        <w:numPr>
          <w:ilvl w:val="0"/>
          <w:numId w:val="2"/>
        </w:numPr>
      </w:pPr>
      <w:r>
        <w:rPr>
          <w:b/>
          <w:bCs/>
        </w:rPr>
        <w:t xml:space="preserve">ASX online — public spec library — </w:t>
      </w:r>
      <w:hyperlink w:history="1" r:id="rIdlx5yyg3bfbf4j7utdn_zm">
        <w:r>
          <w:rPr>
            <w:rStyle w:val="Hyperlink"/>
          </w:rPr>
          <w:t xml:space="preserve">https://www.asxonline.com/</w:t>
        </w:r>
      </w:hyperlink>
    </w:p>
    <w:p>
      <w:pPr>
        <w:pStyle w:val="ListParagraph"/>
        <w:numPr>
          <w:ilvl w:val="0"/>
          <w:numId w:val="2"/>
        </w:numPr>
      </w:pPr>
      <w:r>
        <w:rPr>
          <w:b/>
          <w:bCs/>
        </w:rPr>
        <w:t xml:space="preserve">Nasdaq Trader (US comparator, all-public) — </w:t>
      </w:r>
      <w:hyperlink w:history="1" r:id="rIdcv55keeknb5pdkxqoc7vt">
        <w:r>
          <w:rPr>
            <w:rStyle w:val="Hyperlink"/>
          </w:rPr>
          <w:t xml:space="preserve">https://www.nasdaqtrader.com/Trader.aspx?id=Tradingdocs</w:t>
        </w:r>
      </w:hyperlink>
    </w:p>
    <w:p>
      <w:pPr>
        <w:pStyle w:val="Heading1"/>
        <w:pageBreakBefore/>
      </w:pPr>
      <w:r>
        <w:t xml:space="preserve">23. Bilingual specs and translation gotchas</w:t>
      </w:r>
    </w:p>
    <w:p>
      <w:pPr>
        <w:spacing w:after="120"/>
      </w:pPr>
      <w:r>
        <w:t xml:space="preserve">ASX, NSE, BSE, JPX, KRX, TAIFEX all publish in English, but the depth and recency of English coverage varies. Several distinctive Asian-language constructs survive into the official specs even when an English translation exists.</w:t>
      </w:r>
    </w:p>
    <w:p>
      <w:pPr>
        <w:pStyle w:val="Heading2"/>
      </w:pPr>
      <w:r>
        <w:t xml:space="preserve">English coverage by venue</w:t>
      </w:r>
    </w:p>
    <w:p>
      <w:pPr>
        <w:pStyle w:val="ListParagraph"/>
        <w:numPr>
          <w:ilvl w:val="0"/>
          <w:numId w:val="2"/>
        </w:numPr>
      </w:pPr>
      <w:r>
        <w:rPr>
          <w:b/>
          <w:bCs/>
        </w:rPr>
        <w:t xml:space="preserve">ASX (AU)</w:t>
      </w:r>
      <w:r>
        <w:t xml:space="preserve">  Full English. No bilingual issues.</w:t>
      </w:r>
    </w:p>
    <w:p>
      <w:pPr>
        <w:pStyle w:val="ListParagraph"/>
        <w:numPr>
          <w:ilvl w:val="0"/>
          <w:numId w:val="2"/>
        </w:numPr>
      </w:pPr>
      <w:r>
        <w:rPr>
          <w:b/>
          <w:bCs/>
        </w:rPr>
        <w:t xml:space="preserve">NSE / BSE (IN)</w:t>
      </w:r>
      <w:r>
        <w:t xml:space="preserve">  Full English at the protocol layer; some operational circulars are Hindi/English bilingual but trading and connectivity are English-only.</w:t>
      </w:r>
    </w:p>
    <w:p>
      <w:pPr>
        <w:pStyle w:val="ListParagraph"/>
        <w:numPr>
          <w:ilvl w:val="0"/>
          <w:numId w:val="2"/>
        </w:numPr>
      </w:pPr>
      <w:r>
        <w:rPr>
          <w:b/>
          <w:bCs/>
        </w:rPr>
        <w:t xml:space="preserve">JPX (JP)</w:t>
      </w:r>
      <w:r>
        <w:t xml:space="preserve">  Strong English coverage for product specs, trading rules, FLEX Historical. Some connectivity manuals are Japanese-only and the English version lags by months. Field names occasionally retain Japanese romanisations (e.g. J-NET counterparty designations).</w:t>
      </w:r>
    </w:p>
    <w:p>
      <w:pPr>
        <w:pStyle w:val="ListParagraph"/>
        <w:numPr>
          <w:ilvl w:val="0"/>
          <w:numId w:val="2"/>
        </w:numPr>
      </w:pPr>
      <w:r>
        <w:rPr>
          <w:b/>
          <w:bCs/>
        </w:rPr>
        <w:t xml:space="preserve">KRX (KR)</w:t>
      </w:r>
      <w:r>
        <w:t xml:space="preserve">  Strong English on regulatory and product surfaces. Native protocol documentation is bilingual, with Korean as the source-of-truth — the English document name often appears in parentheses after the Korean ("회원사 시세/주문 인터페이스 규격서" / "Member Quote/Order Interface Specification"). Field names in error messages and conformance tools are sometimes Korean-only.</w:t>
      </w:r>
    </w:p>
    <w:p>
      <w:pPr>
        <w:pStyle w:val="ListParagraph"/>
        <w:numPr>
          <w:ilvl w:val="0"/>
          <w:numId w:val="2"/>
        </w:numPr>
      </w:pPr>
      <w:r>
        <w:rPr>
          <w:b/>
          <w:bCs/>
        </w:rPr>
        <w:t xml:space="preserve">TAIFEX (TW)</w:t>
      </w:r>
      <w:r>
        <w:t xml:space="preserve">  Public TMP, FIX and File Transfer specs are English; some appendices and member services materials are Traditional-Chinese-only.</w:t>
      </w:r>
    </w:p>
    <w:p>
      <w:pPr>
        <w:pStyle w:val="Heading2"/>
      </w:pPr>
      <w:r>
        <w:t xml:space="preserve">Concrete pitfalls</w:t>
      </w:r>
    </w:p>
    <w:p>
      <w:pPr>
        <w:pStyle w:val="ListParagraph"/>
        <w:numPr>
          <w:ilvl w:val="0"/>
          <w:numId w:val="2"/>
        </w:numPr>
      </w:pPr>
      <w:r>
        <w:rPr>
          <w:b/>
          <w:bCs/>
        </w:rPr>
        <w:t xml:space="preserve">Field-name romanisation drift</w:t>
      </w:r>
      <w:r>
        <w:t xml:space="preserve">  Same concept may have multiple romanisations across documents ("투자자" → "Investor", "투자자유형" → "Investor Type" / "Investor Category"). Maintain a glossary.</w:t>
      </w:r>
    </w:p>
    <w:p>
      <w:pPr>
        <w:pStyle w:val="ListParagraph"/>
        <w:numPr>
          <w:ilvl w:val="0"/>
          <w:numId w:val="2"/>
        </w:numPr>
      </w:pPr>
      <w:r>
        <w:rPr>
          <w:b/>
          <w:bCs/>
        </w:rPr>
        <w:t xml:space="preserve">Date format ambiguity</w:t>
      </w:r>
      <w:r>
        <w:t xml:space="preserve">  Some Japanese documents use Reiwa imperial-era dating in operational contexts; APAC docs frequently use YYYY-MM-DD or YYYY/MM/DD inconsistently between fields.</w:t>
      </w:r>
    </w:p>
    <w:p>
      <w:pPr>
        <w:pStyle w:val="ListParagraph"/>
        <w:numPr>
          <w:ilvl w:val="0"/>
          <w:numId w:val="2"/>
        </w:numPr>
      </w:pPr>
      <w:r>
        <w:rPr>
          <w:b/>
          <w:bCs/>
        </w:rPr>
        <w:t xml:space="preserve">Decimal separator</w:t>
      </w:r>
      <w:r>
        <w:t xml:space="preserve">  India uses lakhs/crores in regulatory text but standard decimal in protocol fields. Mixing them in the same document is common.</w:t>
      </w:r>
    </w:p>
    <w:p>
      <w:pPr>
        <w:pStyle w:val="ListParagraph"/>
        <w:numPr>
          <w:ilvl w:val="0"/>
          <w:numId w:val="2"/>
        </w:numPr>
      </w:pPr>
      <w:r>
        <w:rPr>
          <w:b/>
          <w:bCs/>
        </w:rPr>
        <w:t xml:space="preserve">Time zone in tooling</w:t>
      </w:r>
      <w:r>
        <w:t xml:space="preserve">  Conformance tools may emit timestamps in local time without explicit zone tags. Always confirm whether timestamps are exchange local time or UTC at conformance.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KRX: </w:t>
            </w:r>
            <w:r>
              <w:t xml:space="preserve">the dual-language Korean/English protocol spec naming pattern is consistent. Always verify which version is the source-of-truth — usually Korean — when discrepancies arise.</w:t>
            </w:r>
          </w:p>
          <w:p>
            <w:pPr>
              <w:spacing w:after="60"/>
            </w:pPr>
            <w:r>
              <w:rPr>
                <w:b/>
                <w:bCs/>
                <w:color w:val="0E7490"/>
              </w:rPr>
              <w:t xml:space="preserve">JPX: </w:t>
            </w:r>
            <w:r>
              <w:t xml:space="preserve">J-GATE Trading Workstation (Click Trade) Specifications are gated and historically Japanese-leading; the English version covers most but not all configuration screens.</w:t>
            </w:r>
          </w:p>
          <w:p>
            <w:pPr>
              <w:spacing w:after="60"/>
            </w:pPr>
            <w:r>
              <w:rPr>
                <w:b/>
                <w:bCs/>
                <w:color w:val="0E7490"/>
              </w:rPr>
              <w:t xml:space="preserve">TAIFEX: </w:t>
            </w:r>
            <w:r>
              <w:t xml:space="preserve">TMP v2.15.0 English (17 Sep 2021) and FIX v3.0.13 English are public; Traditional-Chinese versions exist with the same content but more recent operational annexes.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"All APAC venues now publish authoritative English specs."</w:t>
            </w:r>
          </w:p>
          <w:p>
            <w:r>
              <w:rPr>
                <w:b/>
                <w:bCs/>
                <w:color w:val="065F46"/>
              </w:rPr>
              <w:t xml:space="preserve">Right: </w:t>
            </w:r>
            <w:r>
              <w:t xml:space="preserve">English coverage is broad but not always authoritative. KRX and JPX explicitly designate the local-language version as the source-of-truth; TAIFEX appendices may exist only in Traditional Chinese. Plan for a bilingual review step on integration.</w:t>
            </w:r>
          </w:p>
        </w:tc>
      </w:tr>
    </w:tbl>
    <w:p>
      <w:pPr>
        <w:pStyle w:val="ListParagraph"/>
        <w:numPr>
          <w:ilvl w:val="0"/>
          <w:numId w:val="2"/>
        </w:numPr>
      </w:pPr>
      <w:r>
        <w:rPr>
          <w:b/>
          <w:bCs/>
        </w:rPr>
        <w:t xml:space="preserve">KRX member portal (login required) — </w:t>
      </w:r>
      <w:hyperlink w:history="1" r:id="rIdaytmy1n6dvty7epjzj09o">
        <w:r>
          <w:rPr>
            <w:rStyle w:val="Hyperlink"/>
          </w:rPr>
          <w:t xml:space="preserve">https://member.krx.co.kr/</w:t>
        </w:r>
      </w:hyperlink>
    </w:p>
    <w:p>
      <w:pPr>
        <w:pStyle w:val="ListParagraph"/>
        <w:numPr>
          <w:ilvl w:val="0"/>
          <w:numId w:val="2"/>
        </w:numPr>
      </w:pPr>
      <w:r>
        <w:rPr>
          <w:b/>
          <w:bCs/>
        </w:rPr>
        <w:t xml:space="preserve">JPX English systems page — </w:t>
      </w:r>
      <w:hyperlink w:history="1" r:id="rIdooaad0bgtt6warreznhxv">
        <w:r>
          <w:rPr>
            <w:rStyle w:val="Hyperlink"/>
          </w:rPr>
          <w:t xml:space="preserve">https://www.jpx.co.jp/english/systems/</w:t>
        </w:r>
      </w:hyperlink>
    </w:p>
    <w:p>
      <w:pPr>
        <w:pStyle w:val="ListParagraph"/>
        <w:numPr>
          <w:ilvl w:val="0"/>
          <w:numId w:val="2"/>
        </w:numPr>
      </w:pPr>
      <w:r>
        <w:rPr>
          <w:b/>
          <w:bCs/>
        </w:rPr>
        <w:t xml:space="preserve">TAIFEX TechDocs (English) — </w:t>
      </w:r>
      <w:hyperlink w:history="1" r:id="rIdqvokfod--yjibkh9kmsw3">
        <w:r>
          <w:rPr>
            <w:rStyle w:val="Hyperlink"/>
          </w:rPr>
          <w:t xml:space="preserve">https://www.taifex.com.tw/enl/eng9/info/info-techDocs</w:t>
        </w:r>
      </w:hyperlink>
    </w:p>
    <w:p>
      <w:pPr>
        <w:pStyle w:val="Heading1"/>
        <w:pageBreakBefore/>
      </w:pPr>
      <w:r>
        <w:t xml:space="preserve">24. Custom-tag conventions in APAC FIX</w:t>
      </w:r>
    </w:p>
    <w:p>
      <w:pPr>
        <w:spacing w:after="120"/>
      </w:pPr>
      <w:r>
        <w:t xml:space="preserve">FIX 4.4 reserves tag numbers above 5000 for user-defined fields. Each APAC venue uses its own range and its own conventions for venue-specific concepts. A FIX integration that ignores custom tags will work for the happy path and fail conformance.</w:t>
      </w:r>
    </w:p>
    <w:p>
      <w:pPr>
        <w:pStyle w:val="Heading2"/>
      </w:pPr>
      <w:r>
        <w:t xml:space="preserve">Per-venue convention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2400"/>
        <w:gridCol w:w="5260"/>
      </w:tblGrid>
      <w:tr>
        <w:trPr>
          <w:tblHeader/>
        </w:trPr>
        <w:tc>
          <w:tcPr>
            <w:tcW w:type="dxa" w:w="17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Venue</w:t>
            </w:r>
          </w:p>
        </w:tc>
        <w:tc>
          <w:tcPr>
            <w:tcW w:type="dxa" w:w="240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Custom-tag range</w:t>
            </w:r>
          </w:p>
        </w:tc>
        <w:tc>
          <w:tcPr>
            <w:tcW w:type="dxa" w:w="5260"/>
            <w:tcBorders>
              <w:top w:val="single" w:color="CBD5E1" w:sz="6"/>
              <w:left w:val="single" w:color="CBD5E1" w:sz="6"/>
              <w:bottom w:val="single" w:color="CBD5E1" w:sz="6"/>
              <w:right w:val="single" w:color="CBD5E1" w:sz="6"/>
            </w:tcBorders>
            <w:shd w:fill="1F2937" w:val="clear"/>
            <w:tcMar>
              <w:top w:type="dxa" w:w="100"/>
              <w:left w:type="dxa" w:w="140"/>
              <w:bottom w:type="dxa" w:w="100"/>
              <w:right w:type="dxa" w:w="140"/>
            </w:tcMar>
          </w:tcPr>
          <w:p>
            <w:r>
              <w:rPr>
                <w:b/>
                <w:bCs/>
                <w:color w:val="FFFFFF"/>
              </w:rPr>
              <w:t xml:space="preserve">Examples</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ASX Trade / ASX 24</w:t>
            </w:r>
          </w:p>
        </w:tc>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5xxx and 9xxx</w:t>
            </w:r>
          </w:p>
        </w:tc>
        <w:tc>
          <w:tcPr>
            <w:tcW w:type="dxa" w:w="52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Per FIX best-practice; tags documented inline in each ASX FIX spec</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BSE ETI</w:t>
            </w:r>
          </w:p>
        </w:tc>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FIX 5.0 SP2 + Eurex EP</w:t>
            </w:r>
          </w:p>
        </w:tc>
        <w:tc>
          <w:tcPr>
            <w:tcW w:type="dxa" w:w="52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EP-defined ranges for product, partition, complex-instrument fields</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NSE FIX (vendor bridge)</w:t>
            </w:r>
          </w:p>
        </w:tc>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Vendor-specific</w:t>
            </w:r>
          </w:p>
        </w:tc>
        <w:tc>
          <w:tcPr>
            <w:tcW w:type="dxa" w:w="52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Bridges map to NSE NNF binary fields; tag mapping is vendor-defined</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JPX FIX</w:t>
            </w:r>
          </w:p>
        </w:tc>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Custom set per FIX spec</w:t>
            </w:r>
          </w:p>
        </w:tc>
        <w:tc>
          <w:tcPr>
            <w:tcW w:type="dxa" w:w="52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J-NET counterparty IDs, board-lot designations, price-limit phase indicators</w:t>
            </w:r>
          </w:p>
        </w:tc>
      </w:tr>
      <w:tr>
        <w:tc>
          <w:tcPr>
            <w:tcW w:type="dxa" w:w="17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KRX FIX</w:t>
            </w:r>
          </w:p>
        </w:tc>
        <w:tc>
          <w:tcPr>
            <w:tcW w:type="dxa" w:w="240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6000–9999</w:t>
            </w:r>
          </w:p>
        </w:tc>
        <w:tc>
          <w:tcPr>
            <w:tcW w:type="dxa" w:w="5260"/>
            <w:tcBorders>
              <w:top w:val="single" w:color="CBD5E1" w:sz="6"/>
              <w:left w:val="single" w:color="CBD5E1" w:sz="6"/>
              <w:bottom w:val="single" w:color="CBD5E1" w:sz="6"/>
              <w:right w:val="single" w:color="CBD5E1" w:sz="6"/>
            </w:tcBorders>
            <w:shd w:fill="F8FAFC" w:val="clear"/>
            <w:tcMar>
              <w:top w:type="dxa" w:w="100"/>
              <w:left w:type="dxa" w:w="140"/>
              <w:bottom w:type="dxa" w:w="100"/>
              <w:right w:type="dxa" w:w="140"/>
            </w:tcMar>
          </w:tcPr>
          <w:p>
            <w:r>
              <w:t xml:space="preserve">Investor type, account designation, order purpose (hedging/arbitrage/speculation)</w:t>
            </w:r>
          </w:p>
        </w:tc>
      </w:tr>
      <w:tr>
        <w:tc>
          <w:tcPr>
            <w:tcW w:type="dxa" w:w="17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TAIFEX FIX</w:t>
            </w:r>
          </w:p>
        </w:tc>
        <w:tc>
          <w:tcPr>
            <w:tcW w:type="dxa" w:w="240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TimeInForce / PositionEffect extensions</w:t>
            </w:r>
          </w:p>
        </w:tc>
        <w:tc>
          <w:tcPr>
            <w:tcW w:type="dxa" w:w="5260"/>
            <w:tcBorders>
              <w:top w:val="single" w:color="CBD5E1" w:sz="6"/>
              <w:left w:val="single" w:color="CBD5E1" w:sz="6"/>
              <w:bottom w:val="single" w:color="CBD5E1" w:sz="6"/>
              <w:right w:val="single" w:color="CBD5E1" w:sz="6"/>
            </w:tcBorders>
            <w:shd w:fill="FFFFFF" w:val="clear"/>
            <w:tcMar>
              <w:top w:type="dxa" w:w="100"/>
              <w:left w:type="dxa" w:w="140"/>
              <w:bottom w:type="dxa" w:w="100"/>
              <w:right w:type="dxa" w:w="140"/>
            </w:tcMar>
          </w:tcPr>
          <w:p>
            <w:r>
              <w:t xml:space="preserve">TimeInForce {0,3,4}; PositionEffect {O,C,D,A,7}</w:t>
            </w:r>
          </w:p>
        </w:tc>
      </w:tr>
    </w:tbl>
    <w:p>
      <w:pPr>
        <w:pStyle w:val="Heading2"/>
      </w:pPr>
      <w:r>
        <w:t xml:space="preserve">KRX in detail — the most distinctive APAC custom-tag set</w:t>
      </w:r>
    </w:p>
    <w:p>
      <w:pPr>
        <w:spacing w:after="120"/>
      </w:pPr>
      <w:r>
        <w:t xml:space="preserve">KRX requires three Korea-specific concepts on every order via custom FIX tags in the 6000–9999 range:</w:t>
      </w:r>
    </w:p>
    <w:p>
      <w:pPr>
        <w:pStyle w:val="ListParagraph"/>
        <w:numPr>
          <w:ilvl w:val="0"/>
          <w:numId w:val="2"/>
        </w:numPr>
      </w:pPr>
      <w:r>
        <w:rPr>
          <w:b/>
          <w:bCs/>
        </w:rPr>
        <w:t xml:space="preserve">Investor type</w:t>
      </w:r>
      <w:r>
        <w:t xml:space="preserve">  foreign vs domestic, institutional vs retail vs proprietary. Mandatory for tax classification and FSC reporting.</w:t>
      </w:r>
    </w:p>
    <w:p>
      <w:pPr>
        <w:pStyle w:val="ListParagraph"/>
        <w:numPr>
          <w:ilvl w:val="0"/>
          <w:numId w:val="2"/>
        </w:numPr>
      </w:pPr>
      <w:r>
        <w:rPr>
          <w:b/>
          <w:bCs/>
        </w:rPr>
        <w:t xml:space="preserve">Account designation</w:t>
      </w:r>
      <w:r>
        <w:t xml:space="preserve">  cash vs margin vs short. Drives clearing and risk routing.</w:t>
      </w:r>
    </w:p>
    <w:p>
      <w:pPr>
        <w:pStyle w:val="ListParagraph"/>
        <w:numPr>
          <w:ilvl w:val="0"/>
          <w:numId w:val="2"/>
        </w:numPr>
      </w:pPr>
      <w:r>
        <w:rPr>
          <w:b/>
          <w:bCs/>
        </w:rPr>
        <w:t xml:space="preserve">Order purpose</w:t>
      </w:r>
      <w:r>
        <w:t xml:space="preserve">  hedging / arbitrage / speculation. Mandatory on derivatives orders. Drives tax treatment and audit-trail classification.</w:t>
      </w:r>
    </w:p>
    <w:p>
      <w:pPr>
        <w:spacing w:after="120"/>
      </w:pPr>
      <w:r>
        <w:t xml:space="preserve">The exact tag numbers are in the gated KRX FIX Interface Specification distributed via member.krx.co.kr. ISVs supporting KRX (Bloomberg EMSX, LSEG / Refinitiv, Trading Technologies for derivatives, ION Fidessa for equities) have these baked in; firms writing direct-to-FIX must implement them or fail conformance.</w:t>
      </w:r>
    </w:p>
    <w:p>
      <w:pPr>
        <w:pStyle w:val="Heading2"/>
      </w:pPr>
      <w:r>
        <w:t xml:space="preserve">TAIFEX TimeInForce and PositionEffect</w:t>
      </w:r>
    </w:p>
    <w:p>
      <w:pPr>
        <w:spacing w:after="120"/>
      </w:pPr>
      <w:r>
        <w:t xml:space="preserve">TAIFEX overloads two standard FIX fields with TAIFEX-specific values:</w:t>
      </w:r>
    </w:p>
    <w:p>
      <w:pPr>
        <w:pStyle w:val="ListParagraph"/>
        <w:numPr>
          <w:ilvl w:val="0"/>
          <w:numId w:val="2"/>
        </w:numPr>
      </w:pPr>
      <w:r>
        <w:rPr>
          <w:b/>
          <w:bCs/>
        </w:rPr>
        <w:t xml:space="preserve">TimeInForce (FIX tag 59)</w:t>
      </w:r>
      <w:r>
        <w:t xml:space="preserve">  0 = Day/ROD, 3 = IOC, 4 = FOK. Standard FIX has more values; TAIFEX restricts to these three.</w:t>
      </w:r>
    </w:p>
    <w:p>
      <w:pPr>
        <w:pStyle w:val="ListParagraph"/>
        <w:numPr>
          <w:ilvl w:val="0"/>
          <w:numId w:val="2"/>
        </w:numPr>
      </w:pPr>
      <w:r>
        <w:rPr>
          <w:b/>
          <w:bCs/>
        </w:rPr>
        <w:t xml:space="preserve">PositionEffect (FIX tag 77)</w:t>
      </w:r>
      <w:r>
        <w:t xml:space="preserve">  O = Open, C = Close, D = Day-Trade, A = Open with specified position offsets, 7 = Offset by FCM. The A and 7 values are TAIFEX extensions and require specific FCM-side validation.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KRX: </w:t>
            </w:r>
            <w:r>
              <w:t xml:space="preserve">the 6000–9999 range is the most distinctive APAC custom-tag block. Investor-type and order-purpose are not edge cases; they are required on every order.</w:t>
            </w:r>
          </w:p>
          <w:p>
            <w:pPr>
              <w:spacing w:after="60"/>
            </w:pPr>
            <w:r>
              <w:rPr>
                <w:b/>
                <w:bCs/>
                <w:color w:val="0E7490"/>
              </w:rPr>
              <w:t xml:space="preserve">TAIFEX: </w:t>
            </w:r>
            <w:r>
              <w:t xml:space="preserve">non-standard TimeInForce and PositionEffect values are documented in the public FIX v3.0.13 spec. Do not assume FIX 4.4 standard semantics.</w:t>
            </w:r>
          </w:p>
          <w:p>
            <w:pPr>
              <w:spacing w:after="60"/>
            </w:pPr>
            <w:r>
              <w:rPr>
                <w:b/>
                <w:bCs/>
                <w:color w:val="0E7490"/>
              </w:rPr>
              <w:t xml:space="preserve">JPX: </w:t>
            </w:r>
            <w:r>
              <w:t xml:space="preserve">J-NET counterparty IDs are used for the OTC-style J-NET cross matching service inside JPX; firms not using J-NET still see the field but populate it as null/unused.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"FIX is FIX — custom tags are optional."</w:t>
            </w:r>
          </w:p>
          <w:p>
            <w:r>
              <w:rPr>
                <w:b/>
                <w:bCs/>
                <w:color w:val="065F46"/>
              </w:rPr>
              <w:t xml:space="preserve">Right: </w:t>
            </w:r>
            <w:r>
              <w:t xml:space="preserve">On APAC venues, custom tags are mandatory for many message types. Conformance tests explicitly verify their presence and validity. A FIX engineer arriving from a US venue should plan to invest a sprint per APAC venue learning that venue's custom-tag dictionary.</w:t>
            </w:r>
          </w:p>
        </w:tc>
      </w:tr>
    </w:tbl>
    <w:p>
      <w:pPr>
        <w:pStyle w:val="ListParagraph"/>
        <w:numPr>
          <w:ilvl w:val="0"/>
          <w:numId w:val="2"/>
        </w:numPr>
      </w:pPr>
      <w:r>
        <w:rPr>
          <w:b/>
          <w:bCs/>
        </w:rPr>
        <w:t xml:space="preserve">FIX Trading Community standards — </w:t>
      </w:r>
      <w:hyperlink w:history="1" r:id="rIdaljukbfghym17osn9tmse">
        <w:r>
          <w:rPr>
            <w:rStyle w:val="Hyperlink"/>
          </w:rPr>
          <w:t xml:space="preserve">https://www.fixtrading.org/standards/</w:t>
        </w:r>
      </w:hyperlink>
    </w:p>
    <w:p>
      <w:pPr>
        <w:pStyle w:val="ListParagraph"/>
        <w:numPr>
          <w:ilvl w:val="0"/>
          <w:numId w:val="2"/>
        </w:numPr>
      </w:pPr>
      <w:r>
        <w:rPr>
          <w:b/>
          <w:bCs/>
        </w:rPr>
        <w:t xml:space="preserve">ASX FIX Order Entry Specification — </w:t>
      </w:r>
      <w:hyperlink w:history="1" r:id="rIdtum2ilt8ulb85b_cg_sgb">
        <w:r>
          <w:rPr>
            <w:rStyle w:val="Hyperlink"/>
          </w:rPr>
          <w:t xml:space="preserve">https://www.asxonline.com/</w:t>
        </w:r>
      </w:hyperlink>
    </w:p>
    <w:p>
      <w:pPr>
        <w:pStyle w:val="Heading1"/>
        <w:pageBreakBefore/>
      </w:pPr>
      <w:r>
        <w:t xml:space="preserve">25. Regional ISV ecosystem</w:t>
      </w:r>
    </w:p>
    <w:p>
      <w:pPr>
        <w:spacing w:after="120"/>
      </w:pPr>
      <w:r>
        <w:t xml:space="preserve">Direct exchange connectivity is the exception, not the rule, for foreign desks operating in India and Korea. The ISV ecosystem in APAC is more heterogeneous than the US — global vendors compete with strong domestic incumbents that often dominate share.</w:t>
      </w:r>
    </w:p>
    <w:p>
      <w:pPr>
        <w:pStyle w:val="Heading2"/>
      </w:pPr>
      <w:r>
        <w:t xml:space="preserve">Global vendors active in APAC</w:t>
      </w:r>
    </w:p>
    <w:p>
      <w:pPr>
        <w:pStyle w:val="ListParagraph"/>
        <w:numPr>
          <w:ilvl w:val="0"/>
          <w:numId w:val="2"/>
        </w:numPr>
      </w:pPr>
      <w:r>
        <w:rPr>
          <w:b/>
          <w:bCs/>
        </w:rPr>
        <w:t xml:space="preserve">Bloomberg (B-PIPE, EMSX)</w:t>
      </w:r>
      <w:r>
        <w:t xml:space="preserve">  Market data and execution. Universal coverage; OMON / OVME options chains for KRX, NSE, BSE, JPX, ASX, TAIFEX.</w:t>
      </w:r>
    </w:p>
    <w:p>
      <w:pPr>
        <w:pStyle w:val="ListParagraph"/>
        <w:numPr>
          <w:ilvl w:val="0"/>
          <w:numId w:val="2"/>
        </w:numPr>
      </w:pPr>
      <w:r>
        <w:rPr>
          <w:b/>
          <w:bCs/>
        </w:rPr>
        <w:t xml:space="preserve">LSEG / Refinitiv (Eikon, Workspace, Elektron)</w:t>
      </w:r>
      <w:r>
        <w:t xml:space="preserve">  Market data via redistribution agreements; EMS/OMS for execution. RIC chains follow regional patterns (KRX 0#KS200*.KS, etc.).</w:t>
      </w:r>
    </w:p>
    <w:p>
      <w:pPr>
        <w:pStyle w:val="ListParagraph"/>
        <w:numPr>
          <w:ilvl w:val="0"/>
          <w:numId w:val="2"/>
        </w:numPr>
      </w:pPr>
      <w:r>
        <w:rPr>
          <w:b/>
          <w:bCs/>
        </w:rPr>
        <w:t xml:space="preserve">Trading Technologies (TT)</w:t>
      </w:r>
      <w:r>
        <w:t xml:space="preserve">  Strong on JPX (TT bridge to J-GATE 3.0 in JPX Co-Lo "All space"), ASX 24, KRX derivatives. Less footprint on NSE/BSE.</w:t>
      </w:r>
    </w:p>
    <w:p>
      <w:pPr>
        <w:pStyle w:val="ListParagraph"/>
        <w:numPr>
          <w:ilvl w:val="0"/>
          <w:numId w:val="2"/>
        </w:numPr>
      </w:pPr>
      <w:r>
        <w:rPr>
          <w:b/>
          <w:bCs/>
        </w:rPr>
        <w:t xml:space="preserve">ION Markets (Fidessa, Marketview, Pats)</w:t>
      </w:r>
      <w:r>
        <w:t xml:space="preserve">  Broad APAC coverage. Fidessa is strong in equities; Pats / MarketView in derivatives. KRX equities and JPX both supported.</w:t>
      </w:r>
    </w:p>
    <w:p>
      <w:pPr>
        <w:pStyle w:val="ListParagraph"/>
        <w:numPr>
          <w:ilvl w:val="0"/>
          <w:numId w:val="2"/>
        </w:numPr>
      </w:pPr>
      <w:r>
        <w:rPr>
          <w:b/>
          <w:bCs/>
        </w:rPr>
        <w:t xml:space="preserve">Itiviti / Broadridge (TBricks, ULLINK)</w:t>
      </w:r>
      <w:r>
        <w:t xml:space="preserve">  FIX gateway specialist; certified across most APAC FIX endpoints.</w:t>
      </w:r>
    </w:p>
    <w:p>
      <w:pPr>
        <w:pStyle w:val="ListParagraph"/>
        <w:numPr>
          <w:ilvl w:val="0"/>
          <w:numId w:val="2"/>
        </w:numPr>
      </w:pPr>
      <w:r>
        <w:rPr>
          <w:b/>
          <w:bCs/>
        </w:rPr>
        <w:t xml:space="preserve">CQG</w:t>
      </w:r>
      <w:r>
        <w:t xml:space="preserve">  Full ASX 24 depth and order routing; less APAC-wide footprint.</w:t>
      </w:r>
    </w:p>
    <w:p>
      <w:pPr>
        <w:pStyle w:val="Heading2"/>
      </w:pPr>
      <w:r>
        <w:t xml:space="preserve">Domestic / regional ISVs</w:t>
      </w:r>
    </w:p>
    <w:p>
      <w:pPr>
        <w:pStyle w:val="ListParagraph"/>
        <w:numPr>
          <w:ilvl w:val="0"/>
          <w:numId w:val="2"/>
        </w:numPr>
      </w:pPr>
      <w:r>
        <w:rPr>
          <w:b/>
          <w:bCs/>
        </w:rPr>
        <w:t xml:space="preserve">ODIN (63 moons, formerly Financial Technologies, India)</w:t>
      </w:r>
      <w:r>
        <w:t xml:space="preserve">  Historically ~80% legacy front-end share in India. Still widespread.</w:t>
      </w:r>
    </w:p>
    <w:p>
      <w:pPr>
        <w:pStyle w:val="ListParagraph"/>
        <w:numPr>
          <w:ilvl w:val="0"/>
          <w:numId w:val="2"/>
        </w:numPr>
      </w:pPr>
      <w:r>
        <w:rPr>
          <w:b/>
          <w:bCs/>
        </w:rPr>
        <w:t xml:space="preserve">Omnesys NEST (India)</w:t>
      </w:r>
      <w:r>
        <w:t xml:space="preserve">  Acquired by Thomson Reuters 2013/14. Underpins Zerodha Kite, Upstox, Finvasia.</w:t>
      </w:r>
    </w:p>
    <w:p>
      <w:pPr>
        <w:pStyle w:val="ListParagraph"/>
        <w:numPr>
          <w:ilvl w:val="0"/>
          <w:numId w:val="2"/>
        </w:numPr>
      </w:pPr>
      <w:r>
        <w:rPr>
          <w:b/>
          <w:bCs/>
        </w:rPr>
        <w:t xml:space="preserve">Symphony Fintech XTS (India)</w:t>
      </w:r>
      <w:r>
        <w:t xml:space="preserve">  Algo trader plus Co-location-as-a-Service (CAAS).</w:t>
      </w:r>
    </w:p>
    <w:p>
      <w:pPr>
        <w:pStyle w:val="ListParagraph"/>
        <w:numPr>
          <w:ilvl w:val="0"/>
          <w:numId w:val="2"/>
        </w:numPr>
      </w:pPr>
      <w:r>
        <w:rPr>
          <w:b/>
          <w:bCs/>
        </w:rPr>
        <w:t xml:space="preserve">Greeksoft Technologies (India)</w:t>
      </w:r>
      <w:r>
        <w:t xml:space="preserve">  First HFT-focused algo vendor in India.</w:t>
      </w:r>
    </w:p>
    <w:p>
      <w:pPr>
        <w:pStyle w:val="ListParagraph"/>
        <w:numPr>
          <w:ilvl w:val="0"/>
          <w:numId w:val="2"/>
        </w:numPr>
      </w:pPr>
      <w:r>
        <w:rPr>
          <w:b/>
          <w:bCs/>
        </w:rPr>
        <w:t xml:space="preserve">KOSCOM (Korea)</w:t>
      </w:r>
      <w:r>
        <w:t xml:space="preserve">  KRX-affiliated technology arm; the official path for regional ISV certification with KRX.</w:t>
      </w:r>
    </w:p>
    <w:p>
      <w:pPr>
        <w:pStyle w:val="ListParagraph"/>
        <w:numPr>
          <w:ilvl w:val="0"/>
          <w:numId w:val="2"/>
        </w:numPr>
      </w:pPr>
      <w:r>
        <w:rPr>
          <w:b/>
          <w:bCs/>
        </w:rPr>
        <w:t xml:space="preserve">Nomura, Mizuho, SBI, Daiwa, SMBC Nikko (Japan)</w:t>
      </w:r>
      <w:r>
        <w:t xml:space="preserve">  Sell-side proprietary execution stacks; HYPER SBI 2, Nomura's global F&amp;O electronic platform, Mizuho's Compass with AI volume/price forecasting.</w:t>
      </w:r>
    </w:p>
    <w:p>
      <w:pPr>
        <w:pStyle w:val="ListParagraph"/>
        <w:numPr>
          <w:ilvl w:val="0"/>
          <w:numId w:val="2"/>
        </w:numPr>
      </w:pPr>
      <w:r>
        <w:rPr>
          <w:b/>
          <w:bCs/>
        </w:rPr>
        <w:t xml:space="preserve">Pico, Vela, Corvil (analytics)</w:t>
      </w:r>
      <w:r>
        <w:t xml:space="preserve">  Capture, latency, and feed-handler normalization plugins; cross-region.</w:t>
      </w:r>
    </w:p>
    <w:p>
      <w:pPr>
        <w:pStyle w:val="Heading2"/>
      </w:pPr>
      <w:r>
        <w:t xml:space="preserve">Why this matters for connectivity decisions</w:t>
      </w:r>
    </w:p>
    <w:p>
      <w:pPr>
        <w:pStyle w:val="ListParagraph"/>
        <w:numPr>
          <w:ilvl w:val="0"/>
          <w:numId w:val="2"/>
        </w:numPr>
      </w:pPr>
      <w:r>
        <w:rPr>
          <w:b/>
          <w:bCs/>
        </w:rPr>
        <w:t xml:space="preserve">Direct connectivity is gated</w:t>
      </w:r>
      <w:r>
        <w:t xml:space="preserve">  KRX and NSE in particular: foreign desks reach the venue through ISV-mediated routes more often than direct.</w:t>
      </w:r>
    </w:p>
    <w:p>
      <w:pPr>
        <w:pStyle w:val="ListParagraph"/>
        <w:numPr>
          <w:ilvl w:val="0"/>
          <w:numId w:val="2"/>
        </w:numPr>
      </w:pPr>
      <w:r>
        <w:rPr>
          <w:b/>
          <w:bCs/>
        </w:rPr>
        <w:t xml:space="preserve">Vendor-empanelled FIX bridges</w:t>
      </w:r>
      <w:r>
        <w:t xml:space="preserve">  NSE has no first-party FIX gateway exposed to the general public; everything routes through empanelled vendor-built FIX-to-NNF bridges (Omnesys, ODIN, Symphony XTS, Greeksoft).</w:t>
      </w:r>
    </w:p>
    <w:p>
      <w:pPr>
        <w:pStyle w:val="ListParagraph"/>
        <w:numPr>
          <w:ilvl w:val="0"/>
          <w:numId w:val="2"/>
        </w:numPr>
      </w:pPr>
      <w:r>
        <w:rPr>
          <w:b/>
          <w:bCs/>
        </w:rPr>
        <w:t xml:space="preserve">ISV certification is a long path</w:t>
      </w:r>
      <w:r>
        <w:t xml:space="preserve">  Once an ISV has certified to a venue, member firms inherit the certification. Building direct from scratch is significantly slower than leveraging an existing ISV path.</w:t>
      </w:r>
    </w:p>
    <w:p>
      <w:pPr>
        <w:pStyle w:val="ListParagraph"/>
        <w:numPr>
          <w:ilvl w:val="0"/>
          <w:numId w:val="2"/>
        </w:numPr>
      </w:pPr>
      <w:r>
        <w:rPr>
          <w:b/>
          <w:bCs/>
        </w:rPr>
        <w:t xml:space="preserve">Regional ISVs hold local knowledge</w:t>
      </w:r>
      <w:r>
        <w:t xml:space="preserve">  Custom-tag conventions, conformance gotchas, regulatory reporting nuances. A global vendor's APAC team is often staffed with engineers from these domestic incumbents.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7490" w:sz="6"/>
              <w:left w:val="single" w:color="0E7490" w:sz="6"/>
              <w:bottom w:val="single" w:color="0E7490" w:sz="6"/>
              <w:right w:val="single" w:color="0E7490" w:sz="6"/>
            </w:tcBorders>
            <w:shd w:fill="ECFEFF" w:val="clear"/>
            <w:tcMar>
              <w:top w:type="dxa" w:w="140"/>
              <w:left w:type="dxa" w:w="200"/>
              <w:bottom w:type="dxa" w:w="140"/>
              <w:right w:type="dxa" w:w="200"/>
            </w:tcMar>
          </w:tcPr>
          <w:p>
            <w:pPr>
              <w:spacing w:after="80"/>
            </w:pPr>
            <w:r>
              <w:rPr>
                <w:b/>
                <w:bCs/>
                <w:sz w:val="22"/>
                <w:szCs w:val="22"/>
              </w:rPr>
              <w:t xml:space="preserve">How this shows up in APAC</w:t>
            </w:r>
          </w:p>
          <w:p>
            <w:pPr>
              <w:spacing w:after="60"/>
            </w:pPr>
            <w:r>
              <w:rPr>
                <w:b/>
                <w:bCs/>
                <w:color w:val="0E7490"/>
              </w:rPr>
              <w:t xml:space="preserve">NSE: </w:t>
            </w:r>
            <w:r>
              <w:t xml:space="preserve">vendor-empanelled FIX-to-NNF bridges are how nearly all foreign desks reach the venue. ODIN, Omnesys NEST, Symphony XTS, Greeksoft are the dominant bridges.</w:t>
            </w:r>
          </w:p>
          <w:p>
            <w:pPr>
              <w:spacing w:after="60"/>
            </w:pPr>
            <w:r>
              <w:rPr>
                <w:b/>
                <w:bCs/>
                <w:color w:val="0E7490"/>
              </w:rPr>
              <w:t xml:space="preserve">JPX: </w:t>
            </w:r>
            <w:r>
              <w:t xml:space="preserve">publishes an official ISV list at jpx.co.jp/english/systems/derivatives-trading/03.html. TT, ION/Fidessa, Itiviti, LSEG, Bloomberg, Pico, Vela, Corvil all appear. Members route through these for J-GATE 3.0.</w:t>
            </w:r>
          </w:p>
          <w:p>
            <w:pPr>
              <w:spacing w:after="60"/>
            </w:pPr>
            <w:r>
              <w:rPr>
                <w:b/>
                <w:bCs/>
                <w:color w:val="0E7490"/>
              </w:rPr>
              <w:t xml:space="preserve">TAIFEX: </w:t>
            </w:r>
            <w:r>
              <w:t xml:space="preserve">TMP and FIX are accessible directly for FCMs; ISVs (TT, ION, etc.) provide higher-level integration for non-FCM members.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6"/>
              <w:left w:val="single" w:color="DC2626" w:sz="6"/>
              <w:bottom w:val="single" w:color="DC2626" w:sz="6"/>
              <w:right w:val="single" w:color="DC2626" w:sz="6"/>
            </w:tcBorders>
            <w:shd w:fill="FEE2E2" w:val="clear"/>
            <w:tcMar>
              <w:top w:type="dxa" w:w="140"/>
              <w:left w:type="dxa" w:w="200"/>
              <w:bottom w:type="dxa" w:w="140"/>
              <w:right w:type="dxa" w:w="200"/>
            </w:tcMar>
          </w:tcPr>
          <w:p>
            <w:pPr>
              <w:spacing w:after="80"/>
            </w:pPr>
            <w:r>
              <w:rPr>
                <w:b/>
                <w:bCs/>
                <w:sz w:val="22"/>
                <w:szCs w:val="22"/>
              </w:rPr>
              <w:t xml:space="preserve">Misconception</w:t>
            </w:r>
          </w:p>
          <w:p>
            <w:pPr>
              <w:spacing w:after="80"/>
            </w:pPr>
            <w:r>
              <w:rPr>
                <w:b/>
                <w:bCs/>
                <w:color w:val="991B1B"/>
              </w:rPr>
              <w:t xml:space="preserve">Wrong: </w:t>
            </w:r>
            <w:r>
              <w:t xml:space="preserve">"Direct exchange connectivity is always cheaper and faster than going through an ISV."</w:t>
            </w:r>
          </w:p>
          <w:p>
            <w:r>
              <w:rPr>
                <w:b/>
                <w:bCs/>
                <w:color w:val="065F46"/>
              </w:rPr>
              <w:t xml:space="preserve">Right: </w:t>
            </w:r>
            <w:r>
              <w:t xml:space="preserve">Faster on the wire, perhaps. Faster to deliver into production — usually no. ISV bridges absorb empanelment, conformance, custom-tag handling, regulatory reporting, and ongoing spec updates. For foreign desks the build-vs-buy calculus rarely favours direct on day one. Move direct after a stable ISV deployment, not before.</w:t>
            </w:r>
          </w:p>
        </w:tc>
      </w:tr>
    </w:tbl>
    <w:p>
      <w:pPr>
        <w:pStyle w:val="ListParagraph"/>
        <w:numPr>
          <w:ilvl w:val="0"/>
          <w:numId w:val="2"/>
        </w:numPr>
      </w:pPr>
      <w:r>
        <w:rPr>
          <w:b/>
          <w:bCs/>
        </w:rPr>
        <w:t xml:space="preserve">JPX ISV list — </w:t>
      </w:r>
      <w:hyperlink w:history="1" r:id="rIdqsmki-lxzkuge67hk2gjl">
        <w:r>
          <w:rPr>
            <w:rStyle w:val="Hyperlink"/>
          </w:rPr>
          <w:t xml:space="preserve">https://www.jpx.co.jp/english/systems/derivatives-trading/03.html</w:t>
        </w:r>
      </w:hyperlink>
    </w:p>
    <w:p>
      <w:pPr>
        <w:pStyle w:val="ListParagraph"/>
        <w:numPr>
          <w:ilvl w:val="0"/>
          <w:numId w:val="2"/>
        </w:numPr>
      </w:pPr>
      <w:r>
        <w:rPr>
          <w:b/>
          <w:bCs/>
        </w:rPr>
        <w:t xml:space="preserve">KOSCOM (Korea exchange technology) — </w:t>
      </w:r>
      <w:hyperlink w:history="1" r:id="rIdk1znsg7fxuvyylllkvsyn">
        <w:r>
          <w:rPr>
            <w:rStyle w:val="Hyperlink"/>
          </w:rPr>
          <w:t xml:space="preserve">https://www.koscom.co.kr/</w:t>
        </w:r>
      </w:hyperlink>
    </w:p>
    <w:p>
      <w:pPr>
        <w:pStyle w:val="ListParagraph"/>
        <w:numPr>
          <w:ilvl w:val="0"/>
          <w:numId w:val="2"/>
        </w:numPr>
      </w:pPr>
      <w:r>
        <w:rPr>
          <w:b/>
          <w:bCs/>
        </w:rPr>
        <w:t xml:space="preserve">ODIN (63 moons) — </w:t>
      </w:r>
      <w:hyperlink w:history="1" r:id="rId3svooud_fcgsg5dc0chz5">
        <w:r>
          <w:rPr>
            <w:rStyle w:val="Hyperlink"/>
          </w:rPr>
          <w:t xml:space="preserve">https://www.63moons.com/</w:t>
        </w:r>
      </w:hyperlink>
    </w:p>
    <w:p>
      <w:pPr>
        <w:pStyle w:val="ListParagraph"/>
        <w:numPr>
          <w:ilvl w:val="0"/>
          <w:numId w:val="2"/>
        </w:numPr>
      </w:pPr>
      <w:r>
        <w:rPr>
          <w:b/>
          <w:bCs/>
        </w:rPr>
        <w:t xml:space="preserve">Omnesys NEST — </w:t>
      </w:r>
      <w:hyperlink w:history="1" r:id="rIdyozqlznzfaoz4zpywdhbu">
        <w:r>
          <w:rPr>
            <w:rStyle w:val="Hyperlink"/>
          </w:rPr>
          <w:t xml:space="preserve">https://www.thomsonreuters.com/</w:t>
        </w:r>
      </w:hyperlink>
    </w:p>
    <w:p>
      <w:pPr>
        <w:pStyle w:val="Heading1"/>
        <w:pageBreakBefore/>
      </w:pPr>
      <w:r>
        <w:t xml:space="preserve">Where to go next</w:t>
      </w:r>
    </w:p>
    <w:p>
      <w:pPr>
        <w:spacing w:after="120"/>
      </w:pPr>
      <w:r>
        <w:t xml:space="preserve">If you have read this end-to-end, you have spent roughly three hours in dense material. The accompanying deliverables are designed to reinforce different angles of the same content:</w:t>
      </w:r>
    </w:p>
    <w:p>
      <w:pPr>
        <w:pStyle w:val="ListParagraph"/>
        <w:numPr>
          <w:ilvl w:val="0"/>
          <w:numId w:val="2"/>
        </w:numPr>
      </w:pPr>
      <w:r>
        <w:rPr>
          <w:b/>
          <w:bCs/>
        </w:rPr>
        <w:t xml:space="preserve">APAC OSI stack diagram (PNG/SVG)</w:t>
      </w:r>
      <w:r>
        <w:t xml:space="preserve">  Pin it. Reach for it whenever you need to place a protocol or a debugging issue.</w:t>
      </w:r>
    </w:p>
    <w:p>
      <w:pPr>
        <w:pStyle w:val="ListParagraph"/>
        <w:numPr>
          <w:ilvl w:val="0"/>
          <w:numId w:val="2"/>
        </w:numPr>
      </w:pPr>
      <w:r>
        <w:rPr>
          <w:b/>
          <w:bCs/>
        </w:rPr>
        <w:t xml:space="preserve">APAC Reference Sheets (Word doc)</w:t>
      </w:r>
      <w:r>
        <w:t xml:space="preserve">  Eight one-page cards: OSI map, per-venue summary, encoding/framing, multicast &amp; recovery, FIX custom tags, PTP, authentication, tick-to-trade. Quick-lookup material for working sessions.</w:t>
      </w:r>
    </w:p>
    <w:p>
      <w:pPr>
        <w:pStyle w:val="ListParagraph"/>
        <w:numPr>
          <w:ilvl w:val="0"/>
          <w:numId w:val="2"/>
        </w:numPr>
      </w:pPr>
      <w:r>
        <w:rPr>
          <w:b/>
          <w:bCs/>
        </w:rPr>
        <w:t xml:space="preserve">APAC Quiz (HTML)</w:t>
      </w:r>
      <w:r>
        <w:t xml:space="preserve">  Thirty questions across the same six themes. Score below 70% in any theme tells you where to re-read.</w:t>
      </w:r>
    </w:p>
    <w:p>
      <w:pPr>
        <w:spacing w:after="120"/>
      </w:pPr>
      <w:r>
        <w:t xml:space="preserve">Re-read priority order if your time is constrained: chapter 5 (multicast), chapter 8 (session wrappers), chapter 9 (gap recovery), chapter 21 (TradeGuard/risk), chapter 22 (NDA gating), chapter 24 (custom tags). The rest are foundations you almost certainly know already.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8"/>
        <w:szCs w:val="18"/>
      </w:rPr>
      <w:t xml:space="preserve">APAC Exchange Connectivity — Core Concepts Deep Dive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Calibri" w:cs="Calibri" w:eastAsia="Calibri" w:hAnsi="Calibri"/>
      <w:b/>
      <w:bCs/>
      <w:color w:val="0F172A"/>
      <w:sz w:val="36"/>
      <w:szCs w:val="36"/>
    </w:rPr>
  </w:style>
  <w:style w:type="paragraph" w:styleId="Heading2">
    <w:name w:val="Heading 2"/>
    <w:basedOn w:val="Normal"/>
    <w:next w:val="Normal"/>
    <w:qFormat/>
    <w:pPr>
      <w:spacing w:after="120" w:before="240"/>
      <w:outlineLvl w:val="1"/>
    </w:pPr>
    <w:rPr>
      <w:rFonts w:ascii="Calibri" w:cs="Calibri" w:eastAsia="Calibri" w:hAnsi="Calibri"/>
      <w:b/>
      <w:bCs/>
      <w:color w:val="1E293B"/>
      <w:sz w:val="28"/>
      <w:szCs w:val="28"/>
    </w:rPr>
  </w:style>
  <w:style w:type="paragraph" w:styleId="Heading3">
    <w:name w:val="Heading 3"/>
    <w:basedOn w:val="Normal"/>
    <w:next w:val="Normal"/>
    <w:qFormat/>
    <w:pPr>
      <w:spacing w:after="80" w:before="160"/>
      <w:outlineLvl w:val="2"/>
    </w:pPr>
    <w:rPr>
      <w:rFonts w:ascii="Calibri" w:cs="Calibri" w:eastAsia="Calibri" w:hAnsi="Calibri"/>
      <w:b/>
      <w:bCs/>
      <w:color w:val="334155"/>
      <w:sz w:val="24"/>
      <w:szCs w:val="24"/>
    </w:rPr>
  </w:style>
  <w:style w:type="paragraph" w:styleId="Hyperlink">
    <w:name w:val="Hyperlink"/>
    <w:basedOn w:val="Normal"/>
    <w:rPr>
      <w:color w:val="1D4ED8"/>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pe-qdrybeqztlddt19xcs" Type="http://schemas.openxmlformats.org/officeDocument/2006/relationships/hyperlink" Target="https://www.itu.int/rec/T-REC-X.200/" TargetMode="External"/><Relationship Id="rIdv-gjjzwwed_rio-kp4_ln" Type="http://schemas.openxmlformats.org/officeDocument/2006/relationships/hyperlink" Target="https://standards.ieee.org/ieee/802.3/" TargetMode="External"/><Relationship Id="rIddob2l_ava1-yc22dasvsu" Type="http://schemas.openxmlformats.org/officeDocument/2006/relationships/hyperlink" Target="https://datatracker.ietf.org/doc/html/rfc791" TargetMode="External"/><Relationship Id="rIdfuzwwq-1tzg-swwz95_vr" Type="http://schemas.openxmlformats.org/officeDocument/2006/relationships/hyperlink" Target="https://datatracker.ietf.org/doc/html/rfc4607" TargetMode="External"/><Relationship Id="rIdhghtnnuxm7e2rpgro7-nr" Type="http://schemas.openxmlformats.org/officeDocument/2006/relationships/hyperlink" Target="https://datatracker.ietf.org/doc/html/rfc793" TargetMode="External"/><Relationship Id="rIdynsp8bg5kl9puiyvcuy4v" Type="http://schemas.openxmlformats.org/officeDocument/2006/relationships/hyperlink" Target="https://datatracker.ietf.org/doc/html/rfc768" TargetMode="External"/><Relationship Id="rIdfbrbkysedcablp8mwl1ds" Type="http://schemas.openxmlformats.org/officeDocument/2006/relationships/hyperlink" Target="https://datatracker.ietf.org/doc/html/rfc4541" TargetMode="External"/><Relationship Id="rId1bv6bop-4i4ps3qnf4hut" Type="http://schemas.openxmlformats.org/officeDocument/2006/relationships/hyperlink" Target="https://datatracker.ietf.org/doc/html/rfc3376" TargetMode="External"/><Relationship Id="rIdqse86wyl7zrybstxd51f9" Type="http://schemas.openxmlformats.org/officeDocument/2006/relationships/hyperlink" Target="https://www.fixtrading.org/standards/fast/" TargetMode="External"/><Relationship Id="rIdhd_tjwbcwyewes2nfzu2x" Type="http://schemas.openxmlformats.org/officeDocument/2006/relationships/hyperlink" Target="https://www.fixtrading.org/standards/sbe/" TargetMode="External"/><Relationship Id="rIdy1cmpdy5plhijbpu47xpi" Type="http://schemas.openxmlformats.org/officeDocument/2006/relationships/hyperlink" Target="https://www.bseindia.com/markets/Equity/EquityCash/connect.html" TargetMode="External"/><Relationship Id="rIdhddlujakwdotfdjibe4sj" Type="http://schemas.openxmlformats.org/officeDocument/2006/relationships/hyperlink" Target="https://www.fixtrading.org/standards/sbe/" TargetMode="External"/><Relationship Id="rIdntytqoiyczsq9g72b_pm2" Type="http://schemas.openxmlformats.org/officeDocument/2006/relationships/hyperlink" Target="https://www.nasdaqtrader.com/content/technicalsupport/specifications/dataproducts/soupbintcp.pdf" TargetMode="External"/><Relationship Id="rIdavqvrutmnd5ssxyldbz7w" Type="http://schemas.openxmlformats.org/officeDocument/2006/relationships/hyperlink" Target="https://www.nasdaqtrader.com/content/technicalsupport/specifications/dataproducts/moldudp64.pdf" TargetMode="External"/><Relationship Id="rIdolhkaqan2lkkhwqaneex-" Type="http://schemas.openxmlformats.org/officeDocument/2006/relationships/hyperlink" Target="https://www.bseindia.com/markets/Equity/EquityCash/connect.html" TargetMode="External"/><Relationship Id="rIdvh38vrswngifvslugy0ko" Type="http://schemas.openxmlformats.org/officeDocument/2006/relationships/hyperlink" Target="https://www.connect2nse.com/marketdata" TargetMode="External"/><Relationship Id="rId6irirulr2nexkiwriqbav" Type="http://schemas.openxmlformats.org/officeDocument/2006/relationships/hyperlink" Target="https://cdn.cboe.com/resources/au/equities/Cboe_Australia_Multicast_PITCH_Specification.pdf" TargetMode="External"/><Relationship Id="rIdi3blrsrlxsh1ptjceoduv" Type="http://schemas.openxmlformats.org/officeDocument/2006/relationships/hyperlink" Target="https://www.jpx.co.jp/english/systems/connectivity/" TargetMode="External"/><Relationship Id="rId8khxxermcip-ku-e2xkcy" Type="http://schemas.openxmlformats.org/officeDocument/2006/relationships/hyperlink" Target="https://www.stacresearch.com/" TargetMode="External"/><Relationship Id="rIdr_m_6vqn8u_ojrkhejjnd" Type="http://schemas.openxmlformats.org/officeDocument/2006/relationships/hyperlink" Target="https://standards.ieee.org/ieee/1588/4355" TargetMode="External"/><Relationship Id="rId-a9mkh6j2xo-o3-nbjdbq" Type="http://schemas.openxmlformats.org/officeDocument/2006/relationships/hyperlink" Target="https://www.microchip.com/en-us/products/clock-and-timing/timing-and-synchronization-systems/grandmaster-clocks" TargetMode="External"/><Relationship Id="rId0ibyp5ivinkjvtrud3nck" Type="http://schemas.openxmlformats.org/officeDocument/2006/relationships/hyperlink" Target="https://datatracker.ietf.org/doc/html/rfc8446" TargetMode="External"/><Relationship Id="rIdm-pw92j4qqnlhexjkrjhu" Type="http://schemas.openxmlformats.org/officeDocument/2006/relationships/hyperlink" Target="https://csrc.nist.gov/publications/detail/sp/800-52/rev-2/final" TargetMode="External"/><Relationship Id="rIdysw1ph-wxo6fqjt2m3d1z" Type="http://schemas.openxmlformats.org/officeDocument/2006/relationships/hyperlink" Target="https://standards.ieee.org/ieee/802.1ae/4254/" TargetMode="External"/><Relationship Id="rIddplj_i-txgsdwg-32ytpv" Type="http://schemas.openxmlformats.org/officeDocument/2006/relationships/hyperlink" Target="https://csrc.nist.gov/publications/detail/fips/197/final" TargetMode="External"/><Relationship Id="rIddd4k5fbqaknlpnfoowdyb" Type="http://schemas.openxmlformats.org/officeDocument/2006/relationships/hyperlink" Target="https://www.asx.com.au/connectivity-and-data/equity-market-products/cash-equity-trading/asx-signal-b" TargetMode="External"/><Relationship Id="rIdge-wg17fsxkezkezjlygp" Type="http://schemas.openxmlformats.org/officeDocument/2006/relationships/hyperlink" Target="https://www.xilinx.com/applications/data-center/network-acceleration/onload.html" TargetMode="External"/><Relationship Id="rIdb7gqvjc4234usmfssx98j" Type="http://schemas.openxmlformats.org/officeDocument/2006/relationships/hyperlink" Target="https://www.dpdk.org/" TargetMode="External"/><Relationship Id="rIdmogok-9x4xuid9ddd9m1a" Type="http://schemas.openxmlformats.org/officeDocument/2006/relationships/hyperlink" Target="https://docs.nvidia.com/networking/category/xlio" TargetMode="External"/><Relationship Id="rIdbyfk8kk4zus7xhrxrkojh" Type="http://schemas.openxmlformats.org/officeDocument/2006/relationships/hyperlink" Target="https://www.arista.com/en/products/7130-series" TargetMode="External"/><Relationship Id="rId52y04rb195eevpjsz4s_k" Type="http://schemas.openxmlformats.org/officeDocument/2006/relationships/hyperlink" Target="https://www.cisco.com/c/en/us/products/switches/nexus-3550-f-series-fusion-switches/index.html" TargetMode="External"/><Relationship Id="rIdz57k66d1q8nuabfdbtfyy" Type="http://schemas.openxmlformats.org/officeDocument/2006/relationships/hyperlink" Target="https://www.napatech.com/" TargetMode="External"/><Relationship Id="rIdspn_hpjeyxbqtfnegnjgd" Type="http://schemas.openxmlformats.org/officeDocument/2006/relationships/hyperlink" Target="https://algo-logic.com/" TargetMode="External"/><Relationship Id="rIdn7wpfwofbafirau2-0arg" Type="http://schemas.openxmlformats.org/officeDocument/2006/relationships/hyperlink" Target="https://www.enyx.com/" TargetMode="External"/><Relationship Id="rId8gn4rfvlcbb17iokgerpg" Type="http://schemas.openxmlformats.org/officeDocument/2006/relationships/hyperlink" Target="https://www.novasparks.com/" TargetMode="External"/><Relationship Id="rId6jm4mh25l2c8cc-gypadf" Type="http://schemas.openxmlformats.org/officeDocument/2006/relationships/hyperlink" Target="https://www.jpx.co.jp/english/systems/connectivity/" TargetMode="External"/><Relationship Id="rIdthbsftixqliz5tbjh63iz" Type="http://schemas.openxmlformats.org/officeDocument/2006/relationships/hyperlink" Target="https://www.submarinecablemap.com/" TargetMode="External"/><Relationship Id="rIdnpii0l-zbo53nupti9gkr" Type="http://schemas.openxmlformats.org/officeDocument/2006/relationships/hyperlink" Target="https://www.connect2nse.com/marketdata" TargetMode="External"/><Relationship Id="rIdmqyg82fkikpbiyk-soaig" Type="http://schemas.openxmlformats.org/officeDocument/2006/relationships/hyperlink" Target="https://www.jpx.co.jp/english/systems/equities-trading/" TargetMode="External"/><Relationship Id="rIddwbiarcem8tnafrl2u1u_" Type="http://schemas.openxmlformats.org/officeDocument/2006/relationships/hyperlink" Target="https://www.jpx.co.jp/english/systems/equities-trading/" TargetMode="External"/><Relationship Id="rIdseoozhndf45gpvpwau6kn" Type="http://schemas.openxmlformats.org/officeDocument/2006/relationships/hyperlink" Target="https://www.jpx.co.jp/english/systems/derivatives-trading/" TargetMode="External"/><Relationship Id="rId2yolevzkpy3qnqkws8uhb" Type="http://schemas.openxmlformats.org/officeDocument/2006/relationships/hyperlink" Target="https://www.jpx.co.jp/english/systems/derivatives-trading/" TargetMode="External"/><Relationship Id="rId3uf04n6l3a90lmiqqke4s" Type="http://schemas.openxmlformats.org/officeDocument/2006/relationships/hyperlink" Target="https://www.sebi.gov.in/" TargetMode="External"/><Relationship Id="rIdlx5yyg3bfbf4j7utdn_zm" Type="http://schemas.openxmlformats.org/officeDocument/2006/relationships/hyperlink" Target="https://www.asxonline.com/" TargetMode="External"/><Relationship Id="rIdcv55keeknb5pdkxqoc7vt" Type="http://schemas.openxmlformats.org/officeDocument/2006/relationships/hyperlink" Target="https://www.nasdaqtrader.com/Trader.aspx?id=Tradingdocs" TargetMode="External"/><Relationship Id="rIdaytmy1n6dvty7epjzj09o" Type="http://schemas.openxmlformats.org/officeDocument/2006/relationships/hyperlink" Target="https://member.krx.co.kr/" TargetMode="External"/><Relationship Id="rIdooaad0bgtt6warreznhxv" Type="http://schemas.openxmlformats.org/officeDocument/2006/relationships/hyperlink" Target="https://www.jpx.co.jp/english/systems/" TargetMode="External"/><Relationship Id="rIdqvokfod--yjibkh9kmsw3" Type="http://schemas.openxmlformats.org/officeDocument/2006/relationships/hyperlink" Target="https://www.taifex.com.tw/enl/eng9/info/info-techDocs" TargetMode="External"/><Relationship Id="rIdaljukbfghym17osn9tmse" Type="http://schemas.openxmlformats.org/officeDocument/2006/relationships/hyperlink" Target="https://www.fixtrading.org/standards/" TargetMode="External"/><Relationship Id="rIdtum2ilt8ulb85b_cg_sgb" Type="http://schemas.openxmlformats.org/officeDocument/2006/relationships/hyperlink" Target="https://www.asxonline.com/" TargetMode="External"/><Relationship Id="rIdqsmki-lxzkuge67hk2gjl" Type="http://schemas.openxmlformats.org/officeDocument/2006/relationships/hyperlink" Target="https://www.jpx.co.jp/english/systems/derivatives-trading/03.html" TargetMode="External"/><Relationship Id="rIdk1znsg7fxuvyylllkvsyn" Type="http://schemas.openxmlformats.org/officeDocument/2006/relationships/hyperlink" Target="https://www.koscom.co.kr/" TargetMode="External"/><Relationship Id="rId3svooud_fcgsg5dc0chz5" Type="http://schemas.openxmlformats.org/officeDocument/2006/relationships/hyperlink" Target="https://www.63moons.com/" TargetMode="External"/><Relationship Id="rIdyozqlznzfaoz4zpywdhbu" Type="http://schemas.openxmlformats.org/officeDocument/2006/relationships/hyperlink" Target="https://www.thomsonreuters.com/" TargetMode="External"/><Relationship Id="rId6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Exchange Connectivity — Core Concepts Deep Dive</dc:title>
  <dc:creator>matjax</dc:creator>
  <dc:description>Deep-dive on networking, encoding, time, and security concepts as they apply to APAC listed-options exchange connectivity.</dc:description>
  <cp:lastModifiedBy>Un-named</cp:lastModifiedBy>
  <cp:revision>1</cp:revision>
  <dcterms:created xsi:type="dcterms:W3CDTF">2026-05-05T10:51:21.666Z</dcterms:created>
  <dcterms:modified xsi:type="dcterms:W3CDTF">2026-05-05T10:51:21.668Z</dcterms:modified>
</cp:coreProperties>
</file>

<file path=docProps/custom.xml><?xml version="1.0" encoding="utf-8"?>
<Properties xmlns="http://schemas.openxmlformats.org/officeDocument/2006/custom-properties" xmlns:vt="http://schemas.openxmlformats.org/officeDocument/2006/docPropsVTypes"/>
</file>