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PM Software Glossary</w:t>
      </w:r>
    </w:p>
    <w:p>
      <w:r>
        <w:rPr>
          <w:i/>
          <w:color w:val="646464"/>
          <w:sz w:val="21"/>
        </w:rPr>
        <w:t>Plain-English definitions for software, platforms, delivery and low-latency work.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EAF1F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r>
              <w:rPr>
                <w:color w:val="373737"/>
                <w:sz w:val="19"/>
              </w:rPr>
              <w:t>Prepared as a support pack for a project-manager masterclass on software delivery and high-speed systems.</w:t>
            </w:r>
          </w:p>
        </w:tc>
      </w:tr>
    </w:tbl>
    <w:p/>
    <w:p>
      <w:pPr>
        <w:pStyle w:val="Heading1"/>
      </w:pPr>
      <w:r>
        <w:t>How to use this sheet</w:t>
      </w:r>
    </w:p>
    <w:p>
      <w:pPr>
        <w:ind w:left="340" w:hanging="170"/>
      </w:pPr>
      <w:r>
        <w:t>• Use these terms consistently during project meetings, RAID reviews, design walkthroughs and vendor conversations.</w:t>
      </w:r>
    </w:p>
    <w:p>
      <w:pPr>
        <w:ind w:left="340" w:hanging="170"/>
      </w:pPr>
      <w:r>
        <w:t>• The point is not to make PMs technical specialists; it is to help them ask better questions and spot hidden delivery risk earlier.</w:t>
      </w:r>
    </w:p>
    <w:p>
      <w:pPr>
        <w:ind w:left="340" w:hanging="170"/>
      </w:pPr>
      <w:r>
        <w:t>• Where a term sounds similar to another, the practical distinction matters. For example, a language is not the same as a framework, and a container is not the same as a virtual machine.</w:t>
      </w:r>
    </w:p>
    <w:p>
      <w:pPr>
        <w:pStyle w:val="Heading1"/>
      </w:pPr>
      <w:r>
        <w:t>Core terms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7056"/>
      </w:tblGrid>
      <w:tr>
        <w:tc>
          <w:tcPr>
            <w:tcW w:type="dxa" w:w="5100"/>
            <w:shd w:fill="D9EAF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b/>
                <w:sz w:val="20"/>
              </w:rPr>
              <w:t>Term</w:t>
            </w:r>
          </w:p>
        </w:tc>
        <w:tc>
          <w:tcPr>
            <w:tcW w:type="dxa" w:w="5100"/>
            <w:shd w:fill="D9EAF7"/>
            <w:vAlign w:val="center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b/>
                <w:sz w:val="20"/>
              </w:rPr>
              <w:t>Definition for PMs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API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A defined way for one system to request data or actions from another system.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Application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A software product or service that performs a business task for a user or another system.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Backend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The server-side part of a system that handles logic, data and integrations.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Cache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A fast layer that stores frequently used data so the system does not fetch or recalculate it each time.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CI/CD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Automated build, test and deployment processes used to move code safely through environments.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Container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A lightweight package that runs software with the libraries and settings it needs.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Database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A system for storing and retrieving structured information.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Environment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A separate place where software runs, such as development, test, UAT or production.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Frontend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The user-facing layer such as a web page, mobile app or workstation screen.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Integration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A connection between systems so data or commands can flow between them.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Kernel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The core part of the operating system that manages hardware, memory and process scheduling.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Latency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The time taken for a request, message or event to travel through a system.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Microservice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A small service focused on one business capability rather than one large monolithic application.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Queue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A buffer that holds messages or work items until they are processed.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Runtime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The environment that executes code, such as the JVM, .NET runtime or a native process.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Stack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The combination of languages, frameworks, databases, infrastructure and tools used to build a system.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Tail latency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The slowest end of performance, usually tracked using p95, p99 or p99.9 rather than the average.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Thread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An execution path inside a process. Multiple threads can run concurrently if designed carefully.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Virtual machine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A software-defined computer running on top of physical hardware.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WAN</w:t>
            </w:r>
          </w:p>
        </w:tc>
        <w:tc>
          <w:tcPr>
            <w:tcW w:type="dxa" w:w="7056"/>
            <w:vAlign w:val="cente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A wide-area network linking sites across distance, such as between offices, datacentres or exchanges.</w:t>
            </w:r>
          </w:p>
        </w:tc>
      </w:tr>
    </w:tbl>
    <w:p>
      <w:pPr>
        <w:pStyle w:val="Heading1"/>
      </w:pPr>
      <w:r>
        <w:t>Terms PMs should link together</w:t>
      </w:r>
    </w:p>
    <w:p>
      <w:pPr>
        <w:ind w:left="340" w:hanging="170"/>
      </w:pPr>
      <w:r>
        <w:t>• Code is written in a language, packaged with libraries, and executed by a runtime on an operating system running on infrastructure.</w:t>
      </w:r>
    </w:p>
    <w:p>
      <w:pPr>
        <w:ind w:left="340" w:hanging="170"/>
      </w:pPr>
      <w:r>
        <w:t>• A stack is the full combination of those choices plus data stores, security controls, observability tools and delivery pipelines.</w:t>
      </w:r>
    </w:p>
    <w:p>
      <w:pPr>
        <w:ind w:left="340" w:hanging="170"/>
      </w:pPr>
      <w:r>
        <w:t>• Latency is shaped by the whole path: application logic, runtime behaviour, operating system, network path and hardware.</w:t>
      </w:r>
    </w:p>
    <w:p>
      <w:pPr>
        <w:pStyle w:val="Heading1"/>
      </w:pPr>
      <w:r>
        <w:t>Low-latency add-ons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shd w:fill="D9EAF7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Low-latency term</w:t>
            </w:r>
          </w:p>
        </w:tc>
        <w:tc>
          <w:tcPr>
            <w:tcW w:type="dxa" w:w="5100"/>
            <w:shd w:fill="D9EAF7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b/>
                <w:sz w:val="20"/>
              </w:rPr>
              <w:t>Why it matters</w:t>
            </w:r>
          </w:p>
        </w:tc>
      </w:tr>
      <w:tr>
        <w:tc>
          <w:tcPr>
            <w:tcW w:type="dxa" w:w="5100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Kernel bypass</w:t>
            </w:r>
          </w:p>
        </w:tc>
        <w:tc>
          <w:tcPr>
            <w:tcW w:type="dxa" w:w="5100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Techniques that move packet processing out of the normal kernel path to reduce overhead and variability.</w:t>
            </w:r>
          </w:p>
        </w:tc>
      </w:tr>
      <w:tr>
        <w:tc>
          <w:tcPr>
            <w:tcW w:type="dxa" w:w="5100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Jitter</w:t>
            </w:r>
          </w:p>
        </w:tc>
        <w:tc>
          <w:tcPr>
            <w:tcW w:type="dxa" w:w="5100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Variation in latency from one event to the next.</w:t>
            </w:r>
          </w:p>
        </w:tc>
      </w:tr>
      <w:tr>
        <w:tc>
          <w:tcPr>
            <w:tcW w:type="dxa" w:w="5100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NUMA</w:t>
            </w:r>
          </w:p>
        </w:tc>
        <w:tc>
          <w:tcPr>
            <w:tcW w:type="dxa" w:w="5100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A hardware memory layout where access speed can differ depending on which CPU socket owns the memory.</w:t>
            </w:r>
          </w:p>
        </w:tc>
      </w:tr>
      <w:tr>
        <w:tc>
          <w:tcPr>
            <w:tcW w:type="dxa" w:w="5100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Critical path</w:t>
            </w:r>
          </w:p>
        </w:tc>
        <w:tc>
          <w:tcPr>
            <w:tcW w:type="dxa" w:w="5100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The exact sequence of steps where any added delay directly affects response time.</w:t>
            </w:r>
          </w:p>
        </w:tc>
      </w:tr>
      <w:tr>
        <w:tc>
          <w:tcPr>
            <w:tcW w:type="dxa" w:w="5100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Determinism</w:t>
            </w:r>
          </w:p>
        </w:tc>
        <w:tc>
          <w:tcPr>
            <w:tcW w:type="dxa" w:w="5100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sz w:val="20"/>
              </w:rPr>
              <w:t>The system behaves consistently rather than merely being fast on average.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64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E6E6E"/>
        <w:sz w:val="16"/>
      </w:rPr>
      <w:t xml:space="preserve">Page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6E6E6E"/>
        <w:sz w:val="16"/>
      </w:rPr>
      <w:t>PM Software Glossary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100"/>
      <w:outlineLvl w:val="0"/>
    </w:pPr>
    <w:rPr>
      <w:rFonts w:asciiTheme="majorHAnsi" w:eastAsiaTheme="majorEastAsia" w:hAnsiTheme="majorHAnsi" w:cstheme="majorBidi" w:ascii="Aptos" w:hAnsi="Aptos"/>
      <w:b/>
      <w:bCs/>
      <w:color w:val="204E7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100"/>
      <w:outlineLvl w:val="1"/>
    </w:pPr>
    <w:rPr>
      <w:rFonts w:asciiTheme="majorHAnsi" w:eastAsiaTheme="majorEastAsia" w:hAnsiTheme="majorHAnsi" w:cstheme="majorBidi" w:ascii="Aptos" w:hAnsi="Aptos"/>
      <w:b/>
      <w:bCs/>
      <w:color w:val="373737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00" w:line="240" w:lineRule="auto" w:before="160"/>
      <w:contextualSpacing/>
    </w:pPr>
    <w:rPr>
      <w:rFonts w:asciiTheme="majorHAnsi" w:eastAsiaTheme="majorEastAsia" w:hAnsiTheme="majorHAnsi" w:cstheme="majorBidi" w:ascii="Aptos" w:hAnsi="Aptos"/>
      <w:b/>
      <w:color w:val="204E78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allout">
    <w:name w:val="Callout"/>
    <w:basedOn w:val="Normal"/>
    <w:rPr>
      <w:i/>
      <w:color w:val="373737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